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BBA" w:rsidRPr="009B6034" w:rsidRDefault="005C548E" w:rsidP="00921949">
      <w:pPr>
        <w:jc w:val="center"/>
        <w:rPr>
          <w:rFonts w:ascii="Arial" w:hAnsi="Arial" w:cs="Arial"/>
          <w:b/>
          <w:color w:val="1F497D" w:themeColor="text2"/>
          <w:sz w:val="40"/>
          <w:szCs w:val="40"/>
        </w:rPr>
      </w:pPr>
      <w:bookmarkStart w:id="0" w:name="_GoBack"/>
      <w:bookmarkEnd w:id="0"/>
      <w:r>
        <w:rPr>
          <w:rFonts w:ascii="Arial" w:hAnsi="Arial" w:cs="Arial"/>
          <w:b/>
          <w:color w:val="1F497D" w:themeColor="text2"/>
          <w:sz w:val="40"/>
          <w:szCs w:val="40"/>
        </w:rPr>
        <w:t xml:space="preserve">Transmissible Spongiform Encephalopathy  </w:t>
      </w:r>
      <w:r w:rsidR="00CE1BBA" w:rsidRPr="009B6034">
        <w:rPr>
          <w:rFonts w:ascii="Arial" w:hAnsi="Arial" w:cs="Arial"/>
          <w:b/>
          <w:color w:val="1F497D" w:themeColor="text2"/>
          <w:sz w:val="40"/>
          <w:szCs w:val="40"/>
        </w:rPr>
        <w:t xml:space="preserve"> (</w:t>
      </w:r>
      <w:r>
        <w:rPr>
          <w:rFonts w:ascii="Arial" w:hAnsi="Arial" w:cs="Arial"/>
          <w:b/>
          <w:color w:val="1F497D" w:themeColor="text2"/>
          <w:sz w:val="40"/>
          <w:szCs w:val="40"/>
        </w:rPr>
        <w:t>TSE</w:t>
      </w:r>
      <w:r w:rsidR="00CE1BBA" w:rsidRPr="009B6034">
        <w:rPr>
          <w:rFonts w:ascii="Arial" w:hAnsi="Arial" w:cs="Arial"/>
          <w:b/>
          <w:color w:val="1F497D" w:themeColor="text2"/>
          <w:sz w:val="40"/>
          <w:szCs w:val="40"/>
        </w:rPr>
        <w:t>)</w:t>
      </w:r>
    </w:p>
    <w:p w:rsidR="00CE1BBA" w:rsidRPr="009B6034" w:rsidRDefault="00CE1BBA" w:rsidP="00921949">
      <w:pPr>
        <w:jc w:val="center"/>
        <w:rPr>
          <w:rFonts w:ascii="Arial" w:hAnsi="Arial" w:cs="Arial"/>
          <w:b/>
          <w:color w:val="1F497D" w:themeColor="text2"/>
          <w:sz w:val="40"/>
          <w:szCs w:val="40"/>
        </w:rPr>
      </w:pPr>
    </w:p>
    <w:p w:rsidR="00CE1BBA" w:rsidRPr="009B6034" w:rsidRDefault="00CE1BBA" w:rsidP="00921949">
      <w:pPr>
        <w:jc w:val="center"/>
        <w:rPr>
          <w:rFonts w:ascii="Arial" w:hAnsi="Arial" w:cs="Arial"/>
          <w:b/>
          <w:color w:val="1F497D" w:themeColor="text2"/>
          <w:sz w:val="40"/>
          <w:szCs w:val="40"/>
        </w:rPr>
      </w:pPr>
      <w:r w:rsidRPr="009B6034">
        <w:rPr>
          <w:rFonts w:ascii="Arial" w:hAnsi="Arial" w:cs="Arial"/>
          <w:b/>
          <w:color w:val="1F497D" w:themeColor="text2"/>
          <w:sz w:val="40"/>
          <w:szCs w:val="40"/>
        </w:rPr>
        <w:t xml:space="preserve">Consultation on </w:t>
      </w:r>
      <w:r w:rsidR="001C6441">
        <w:rPr>
          <w:rFonts w:ascii="Arial" w:hAnsi="Arial" w:cs="Arial"/>
          <w:b/>
          <w:color w:val="1F497D" w:themeColor="text2"/>
          <w:sz w:val="40"/>
          <w:szCs w:val="40"/>
        </w:rPr>
        <w:t>p</w:t>
      </w:r>
      <w:r w:rsidR="005C548E">
        <w:rPr>
          <w:rFonts w:ascii="Arial" w:hAnsi="Arial" w:cs="Arial"/>
          <w:b/>
          <w:color w:val="1F497D" w:themeColor="text2"/>
          <w:sz w:val="40"/>
          <w:szCs w:val="40"/>
        </w:rPr>
        <w:t xml:space="preserve">roposal to </w:t>
      </w:r>
      <w:r w:rsidR="001C6441">
        <w:rPr>
          <w:rFonts w:ascii="Arial" w:hAnsi="Arial" w:cs="Arial"/>
          <w:b/>
          <w:color w:val="1F497D" w:themeColor="text2"/>
          <w:sz w:val="40"/>
          <w:szCs w:val="40"/>
        </w:rPr>
        <w:t>transfer the</w:t>
      </w:r>
      <w:r w:rsidR="005C548E">
        <w:rPr>
          <w:rFonts w:ascii="Arial" w:hAnsi="Arial" w:cs="Arial"/>
          <w:b/>
          <w:color w:val="1F497D" w:themeColor="text2"/>
          <w:sz w:val="40"/>
          <w:szCs w:val="40"/>
        </w:rPr>
        <w:t xml:space="preserve"> cost of brain stem sampling</w:t>
      </w:r>
      <w:r w:rsidR="001C6441">
        <w:rPr>
          <w:rFonts w:ascii="Arial" w:hAnsi="Arial" w:cs="Arial"/>
          <w:b/>
          <w:color w:val="1F497D" w:themeColor="text2"/>
          <w:sz w:val="40"/>
          <w:szCs w:val="40"/>
        </w:rPr>
        <w:t xml:space="preserve"> of fallen stock over 48 months</w:t>
      </w:r>
      <w:r w:rsidR="005C548E">
        <w:rPr>
          <w:rFonts w:ascii="Arial" w:hAnsi="Arial" w:cs="Arial"/>
          <w:b/>
          <w:color w:val="1F497D" w:themeColor="text2"/>
          <w:sz w:val="40"/>
          <w:szCs w:val="40"/>
        </w:rPr>
        <w:t xml:space="preserve"> to industry</w:t>
      </w:r>
    </w:p>
    <w:p w:rsidR="00F141A5" w:rsidRPr="009B6034" w:rsidRDefault="00F141A5" w:rsidP="00921949">
      <w:pPr>
        <w:jc w:val="center"/>
        <w:rPr>
          <w:rFonts w:asciiTheme="minorHAnsi" w:hAnsiTheme="minorHAnsi" w:cstheme="minorHAnsi"/>
          <w:b/>
          <w:color w:val="1F497D" w:themeColor="text2"/>
          <w:sz w:val="40"/>
          <w:szCs w:val="40"/>
        </w:rPr>
      </w:pPr>
    </w:p>
    <w:p w:rsidR="00CE1BBA" w:rsidRPr="009B6034" w:rsidRDefault="00CE1BBA" w:rsidP="00921949">
      <w:pPr>
        <w:jc w:val="center"/>
        <w:rPr>
          <w:rFonts w:asciiTheme="minorHAnsi" w:hAnsiTheme="minorHAnsi" w:cstheme="minorHAnsi"/>
          <w:b/>
          <w:color w:val="1F497D" w:themeColor="text2"/>
          <w:sz w:val="40"/>
          <w:szCs w:val="40"/>
        </w:rPr>
      </w:pPr>
      <w:r w:rsidRPr="009B6034">
        <w:rPr>
          <w:rFonts w:asciiTheme="minorHAnsi" w:hAnsiTheme="minorHAnsi" w:cstheme="minorHAnsi"/>
          <w:b/>
          <w:color w:val="1F497D" w:themeColor="text2"/>
          <w:sz w:val="40"/>
          <w:szCs w:val="40"/>
        </w:rPr>
        <w:t>Analysis of responses to the public consultation exercise</w:t>
      </w:r>
    </w:p>
    <w:p w:rsidR="00F141A5" w:rsidRDefault="00F141A5" w:rsidP="00B13FF3">
      <w:pPr>
        <w:jc w:val="left"/>
        <w:rPr>
          <w:rFonts w:asciiTheme="minorHAnsi" w:hAnsiTheme="minorHAnsi" w:cstheme="minorHAnsi"/>
        </w:rPr>
      </w:pPr>
    </w:p>
    <w:p w:rsidR="00F141A5" w:rsidRDefault="00F141A5" w:rsidP="00B13FF3">
      <w:pPr>
        <w:jc w:val="left"/>
        <w:rPr>
          <w:rFonts w:asciiTheme="minorHAnsi" w:hAnsiTheme="minorHAnsi" w:cstheme="minorHAnsi"/>
        </w:rPr>
      </w:pPr>
    </w:p>
    <w:p w:rsidR="00CE1BBA" w:rsidRDefault="00CE1BBA">
      <w:pPr>
        <w:tabs>
          <w:tab w:val="clear" w:pos="720"/>
          <w:tab w:val="clear" w:pos="1440"/>
          <w:tab w:val="clear" w:pos="2160"/>
          <w:tab w:val="clear" w:pos="2880"/>
          <w:tab w:val="clear" w:pos="4680"/>
          <w:tab w:val="clear" w:pos="5400"/>
          <w:tab w:val="clear" w:pos="9000"/>
        </w:tabs>
        <w:jc w:val="left"/>
        <w:rPr>
          <w:rFonts w:asciiTheme="minorHAnsi" w:hAnsiTheme="minorHAnsi" w:cstheme="minorHAnsi"/>
          <w:b/>
        </w:rPr>
      </w:pPr>
      <w:r>
        <w:rPr>
          <w:rFonts w:asciiTheme="minorHAnsi" w:hAnsiTheme="minorHAnsi" w:cstheme="minorHAnsi"/>
          <w:b/>
        </w:rPr>
        <w:br w:type="page"/>
      </w:r>
    </w:p>
    <w:sdt>
      <w:sdtPr>
        <w:rPr>
          <w:rFonts w:ascii="Times New Roman" w:eastAsia="Times New Roman" w:hAnsi="Times New Roman" w:cs="Times New Roman"/>
          <w:b w:val="0"/>
          <w:bCs w:val="0"/>
          <w:color w:val="auto"/>
          <w:sz w:val="24"/>
          <w:szCs w:val="20"/>
          <w:lang w:val="en-GB" w:eastAsia="en-GB"/>
        </w:rPr>
        <w:id w:val="-1873989340"/>
        <w:docPartObj>
          <w:docPartGallery w:val="Table of Contents"/>
          <w:docPartUnique/>
        </w:docPartObj>
      </w:sdtPr>
      <w:sdtEndPr>
        <w:rPr>
          <w:noProof/>
        </w:rPr>
      </w:sdtEndPr>
      <w:sdtContent>
        <w:p w:rsidR="009A30FF" w:rsidRDefault="009A30FF">
          <w:pPr>
            <w:pStyle w:val="TOCHeading"/>
          </w:pPr>
          <w:r>
            <w:t>Contents</w:t>
          </w:r>
        </w:p>
        <w:p w:rsidR="009A30FF" w:rsidRDefault="009A30FF">
          <w:pPr>
            <w:pStyle w:val="TOC1"/>
            <w:tabs>
              <w:tab w:val="right" w:pos="9016"/>
            </w:tabs>
            <w:rPr>
              <w:rFonts w:asciiTheme="minorHAnsi" w:eastAsiaTheme="minorEastAsia" w:hAnsiTheme="minorHAnsi" w:cstheme="minorBidi"/>
              <w:b w:val="0"/>
              <w:bCs w:val="0"/>
              <w:caps w:val="0"/>
              <w:noProof/>
              <w:sz w:val="22"/>
              <w:szCs w:val="22"/>
            </w:rPr>
          </w:pPr>
          <w:r>
            <w:rPr>
              <w:b w:val="0"/>
              <w:bCs w:val="0"/>
              <w:noProof/>
            </w:rPr>
            <w:fldChar w:fldCharType="begin"/>
          </w:r>
          <w:r>
            <w:rPr>
              <w:noProof/>
            </w:rPr>
            <w:instrText xml:space="preserve"> TOC \o "1-3" \h \z \u </w:instrText>
          </w:r>
          <w:r>
            <w:rPr>
              <w:b w:val="0"/>
              <w:bCs w:val="0"/>
              <w:noProof/>
            </w:rPr>
            <w:fldChar w:fldCharType="separate"/>
          </w:r>
          <w:hyperlink w:anchor="_Toc532299847" w:history="1">
            <w:r w:rsidRPr="001453E2">
              <w:rPr>
                <w:rStyle w:val="Hyperlink"/>
                <w:noProof/>
              </w:rPr>
              <w:t>Introduction</w:t>
            </w:r>
            <w:r>
              <w:rPr>
                <w:noProof/>
                <w:webHidden/>
              </w:rPr>
              <w:tab/>
            </w:r>
            <w:r>
              <w:rPr>
                <w:noProof/>
                <w:webHidden/>
              </w:rPr>
              <w:fldChar w:fldCharType="begin"/>
            </w:r>
            <w:r>
              <w:rPr>
                <w:noProof/>
                <w:webHidden/>
              </w:rPr>
              <w:instrText xml:space="preserve"> PAGEREF _Toc532299847 \h </w:instrText>
            </w:r>
            <w:r>
              <w:rPr>
                <w:noProof/>
                <w:webHidden/>
              </w:rPr>
            </w:r>
            <w:r>
              <w:rPr>
                <w:noProof/>
                <w:webHidden/>
              </w:rPr>
              <w:fldChar w:fldCharType="separate"/>
            </w:r>
            <w:r>
              <w:rPr>
                <w:noProof/>
                <w:webHidden/>
              </w:rPr>
              <w:t>3</w:t>
            </w:r>
            <w:r>
              <w:rPr>
                <w:noProof/>
                <w:webHidden/>
              </w:rPr>
              <w:fldChar w:fldCharType="end"/>
            </w:r>
          </w:hyperlink>
        </w:p>
        <w:p w:rsidR="009A30FF" w:rsidRDefault="00844144">
          <w:pPr>
            <w:pStyle w:val="TOC1"/>
            <w:tabs>
              <w:tab w:val="right" w:pos="9016"/>
            </w:tabs>
            <w:rPr>
              <w:rFonts w:asciiTheme="minorHAnsi" w:eastAsiaTheme="minorEastAsia" w:hAnsiTheme="minorHAnsi" w:cstheme="minorBidi"/>
              <w:b w:val="0"/>
              <w:bCs w:val="0"/>
              <w:caps w:val="0"/>
              <w:noProof/>
              <w:sz w:val="22"/>
              <w:szCs w:val="22"/>
            </w:rPr>
          </w:pPr>
          <w:hyperlink w:anchor="_Toc532299848" w:history="1">
            <w:r w:rsidR="009A30FF" w:rsidRPr="001453E2">
              <w:rPr>
                <w:rStyle w:val="Hyperlink"/>
                <w:noProof/>
              </w:rPr>
              <w:t>Background to the Scottish BSE cost share proposal</w:t>
            </w:r>
            <w:r w:rsidR="009A30FF">
              <w:rPr>
                <w:noProof/>
                <w:webHidden/>
              </w:rPr>
              <w:tab/>
            </w:r>
            <w:r w:rsidR="009A30FF">
              <w:rPr>
                <w:noProof/>
                <w:webHidden/>
              </w:rPr>
              <w:fldChar w:fldCharType="begin"/>
            </w:r>
            <w:r w:rsidR="009A30FF">
              <w:rPr>
                <w:noProof/>
                <w:webHidden/>
              </w:rPr>
              <w:instrText xml:space="preserve"> PAGEREF _Toc532299848 \h </w:instrText>
            </w:r>
            <w:r w:rsidR="009A30FF">
              <w:rPr>
                <w:noProof/>
                <w:webHidden/>
              </w:rPr>
            </w:r>
            <w:r w:rsidR="009A30FF">
              <w:rPr>
                <w:noProof/>
                <w:webHidden/>
              </w:rPr>
              <w:fldChar w:fldCharType="separate"/>
            </w:r>
            <w:r w:rsidR="009A30FF">
              <w:rPr>
                <w:noProof/>
                <w:webHidden/>
              </w:rPr>
              <w:t>3</w:t>
            </w:r>
            <w:r w:rsidR="009A30FF">
              <w:rPr>
                <w:noProof/>
                <w:webHidden/>
              </w:rPr>
              <w:fldChar w:fldCharType="end"/>
            </w:r>
          </w:hyperlink>
        </w:p>
        <w:p w:rsidR="009A30FF" w:rsidRDefault="00844144">
          <w:pPr>
            <w:pStyle w:val="TOC1"/>
            <w:tabs>
              <w:tab w:val="right" w:pos="9016"/>
            </w:tabs>
            <w:rPr>
              <w:rFonts w:asciiTheme="minorHAnsi" w:eastAsiaTheme="minorEastAsia" w:hAnsiTheme="minorHAnsi" w:cstheme="minorBidi"/>
              <w:b w:val="0"/>
              <w:bCs w:val="0"/>
              <w:caps w:val="0"/>
              <w:noProof/>
              <w:sz w:val="22"/>
              <w:szCs w:val="22"/>
            </w:rPr>
          </w:pPr>
          <w:hyperlink w:anchor="_Toc532299849" w:history="1">
            <w:r w:rsidR="009A30FF" w:rsidRPr="001453E2">
              <w:rPr>
                <w:rStyle w:val="Hyperlink"/>
                <w:noProof/>
              </w:rPr>
              <w:t>Consultation responses</w:t>
            </w:r>
            <w:r w:rsidR="009A30FF">
              <w:rPr>
                <w:noProof/>
                <w:webHidden/>
              </w:rPr>
              <w:tab/>
            </w:r>
            <w:r w:rsidR="009A30FF">
              <w:rPr>
                <w:noProof/>
                <w:webHidden/>
              </w:rPr>
              <w:fldChar w:fldCharType="begin"/>
            </w:r>
            <w:r w:rsidR="009A30FF">
              <w:rPr>
                <w:noProof/>
                <w:webHidden/>
              </w:rPr>
              <w:instrText xml:space="preserve"> PAGEREF _Toc532299849 \h </w:instrText>
            </w:r>
            <w:r w:rsidR="009A30FF">
              <w:rPr>
                <w:noProof/>
                <w:webHidden/>
              </w:rPr>
            </w:r>
            <w:r w:rsidR="009A30FF">
              <w:rPr>
                <w:noProof/>
                <w:webHidden/>
              </w:rPr>
              <w:fldChar w:fldCharType="separate"/>
            </w:r>
            <w:r w:rsidR="009A30FF">
              <w:rPr>
                <w:noProof/>
                <w:webHidden/>
              </w:rPr>
              <w:t>4</w:t>
            </w:r>
            <w:r w:rsidR="009A30FF">
              <w:rPr>
                <w:noProof/>
                <w:webHidden/>
              </w:rPr>
              <w:fldChar w:fldCharType="end"/>
            </w:r>
          </w:hyperlink>
        </w:p>
        <w:p w:rsidR="009A30FF" w:rsidRDefault="00844144">
          <w:pPr>
            <w:pStyle w:val="TOC1"/>
            <w:tabs>
              <w:tab w:val="right" w:pos="9016"/>
            </w:tabs>
            <w:rPr>
              <w:rFonts w:asciiTheme="minorHAnsi" w:eastAsiaTheme="minorEastAsia" w:hAnsiTheme="minorHAnsi" w:cstheme="minorBidi"/>
              <w:b w:val="0"/>
              <w:bCs w:val="0"/>
              <w:caps w:val="0"/>
              <w:noProof/>
              <w:sz w:val="22"/>
              <w:szCs w:val="22"/>
            </w:rPr>
          </w:pPr>
          <w:hyperlink w:anchor="_Toc532299850" w:history="1">
            <w:r w:rsidR="009A30FF" w:rsidRPr="001453E2">
              <w:rPr>
                <w:rStyle w:val="Hyperlink"/>
                <w:noProof/>
              </w:rPr>
              <w:t>Proposal 1 – Move Brain stem sampling of TSE testing of fallen stock over 48 months to industry</w:t>
            </w:r>
            <w:r w:rsidR="009A30FF">
              <w:rPr>
                <w:noProof/>
                <w:webHidden/>
              </w:rPr>
              <w:tab/>
            </w:r>
            <w:r w:rsidR="009A30FF">
              <w:rPr>
                <w:noProof/>
                <w:webHidden/>
              </w:rPr>
              <w:fldChar w:fldCharType="begin"/>
            </w:r>
            <w:r w:rsidR="009A30FF">
              <w:rPr>
                <w:noProof/>
                <w:webHidden/>
              </w:rPr>
              <w:instrText xml:space="preserve"> PAGEREF _Toc532299850 \h </w:instrText>
            </w:r>
            <w:r w:rsidR="009A30FF">
              <w:rPr>
                <w:noProof/>
                <w:webHidden/>
              </w:rPr>
            </w:r>
            <w:r w:rsidR="009A30FF">
              <w:rPr>
                <w:noProof/>
                <w:webHidden/>
              </w:rPr>
              <w:fldChar w:fldCharType="separate"/>
            </w:r>
            <w:r w:rsidR="009A30FF">
              <w:rPr>
                <w:noProof/>
                <w:webHidden/>
              </w:rPr>
              <w:t>5</w:t>
            </w:r>
            <w:r w:rsidR="009A30FF">
              <w:rPr>
                <w:noProof/>
                <w:webHidden/>
              </w:rPr>
              <w:fldChar w:fldCharType="end"/>
            </w:r>
          </w:hyperlink>
        </w:p>
        <w:p w:rsidR="009A30FF" w:rsidRDefault="00844144">
          <w:pPr>
            <w:pStyle w:val="TOC1"/>
            <w:tabs>
              <w:tab w:val="right" w:pos="9016"/>
            </w:tabs>
            <w:rPr>
              <w:rFonts w:asciiTheme="minorHAnsi" w:eastAsiaTheme="minorEastAsia" w:hAnsiTheme="minorHAnsi" w:cstheme="minorBidi"/>
              <w:b w:val="0"/>
              <w:bCs w:val="0"/>
              <w:caps w:val="0"/>
              <w:noProof/>
              <w:sz w:val="22"/>
              <w:szCs w:val="22"/>
            </w:rPr>
          </w:pPr>
          <w:hyperlink w:anchor="_Toc532299851" w:history="1">
            <w:r w:rsidR="009A30FF" w:rsidRPr="001453E2">
              <w:rPr>
                <w:rStyle w:val="Hyperlink"/>
                <w:noProof/>
              </w:rPr>
              <w:t>Consultation Feedback</w:t>
            </w:r>
            <w:r w:rsidR="009A30FF">
              <w:rPr>
                <w:noProof/>
                <w:webHidden/>
              </w:rPr>
              <w:tab/>
            </w:r>
            <w:r w:rsidR="009A30FF">
              <w:rPr>
                <w:noProof/>
                <w:webHidden/>
              </w:rPr>
              <w:fldChar w:fldCharType="begin"/>
            </w:r>
            <w:r w:rsidR="009A30FF">
              <w:rPr>
                <w:noProof/>
                <w:webHidden/>
              </w:rPr>
              <w:instrText xml:space="preserve"> PAGEREF _Toc532299851 \h </w:instrText>
            </w:r>
            <w:r w:rsidR="009A30FF">
              <w:rPr>
                <w:noProof/>
                <w:webHidden/>
              </w:rPr>
            </w:r>
            <w:r w:rsidR="009A30FF">
              <w:rPr>
                <w:noProof/>
                <w:webHidden/>
              </w:rPr>
              <w:fldChar w:fldCharType="separate"/>
            </w:r>
            <w:r w:rsidR="009A30FF">
              <w:rPr>
                <w:noProof/>
                <w:webHidden/>
              </w:rPr>
              <w:t>6</w:t>
            </w:r>
            <w:r w:rsidR="009A30FF">
              <w:rPr>
                <w:noProof/>
                <w:webHidden/>
              </w:rPr>
              <w:fldChar w:fldCharType="end"/>
            </w:r>
          </w:hyperlink>
        </w:p>
        <w:p w:rsidR="009A30FF" w:rsidRDefault="00844144">
          <w:pPr>
            <w:pStyle w:val="TOC1"/>
            <w:tabs>
              <w:tab w:val="right" w:pos="9016"/>
            </w:tabs>
            <w:rPr>
              <w:rFonts w:asciiTheme="minorHAnsi" w:eastAsiaTheme="minorEastAsia" w:hAnsiTheme="minorHAnsi" w:cstheme="minorBidi"/>
              <w:b w:val="0"/>
              <w:bCs w:val="0"/>
              <w:caps w:val="0"/>
              <w:noProof/>
              <w:sz w:val="22"/>
              <w:szCs w:val="22"/>
            </w:rPr>
          </w:pPr>
          <w:hyperlink w:anchor="_Toc532299852" w:history="1">
            <w:r w:rsidR="009A30FF" w:rsidRPr="001453E2">
              <w:rPr>
                <w:rStyle w:val="Hyperlink"/>
                <w:noProof/>
              </w:rPr>
              <w:t>Annex A</w:t>
            </w:r>
            <w:r w:rsidR="009A30FF">
              <w:rPr>
                <w:noProof/>
                <w:webHidden/>
              </w:rPr>
              <w:tab/>
            </w:r>
            <w:r w:rsidR="009A30FF">
              <w:rPr>
                <w:noProof/>
                <w:webHidden/>
              </w:rPr>
              <w:fldChar w:fldCharType="begin"/>
            </w:r>
            <w:r w:rsidR="009A30FF">
              <w:rPr>
                <w:noProof/>
                <w:webHidden/>
              </w:rPr>
              <w:instrText xml:space="preserve"> PAGEREF _Toc532299852 \h </w:instrText>
            </w:r>
            <w:r w:rsidR="009A30FF">
              <w:rPr>
                <w:noProof/>
                <w:webHidden/>
              </w:rPr>
            </w:r>
            <w:r w:rsidR="009A30FF">
              <w:rPr>
                <w:noProof/>
                <w:webHidden/>
              </w:rPr>
              <w:fldChar w:fldCharType="separate"/>
            </w:r>
            <w:r w:rsidR="009A30FF">
              <w:rPr>
                <w:noProof/>
                <w:webHidden/>
              </w:rPr>
              <w:t>7</w:t>
            </w:r>
            <w:r w:rsidR="009A30FF">
              <w:rPr>
                <w:noProof/>
                <w:webHidden/>
              </w:rPr>
              <w:fldChar w:fldCharType="end"/>
            </w:r>
          </w:hyperlink>
        </w:p>
        <w:p w:rsidR="009A30FF" w:rsidRDefault="009A30FF">
          <w:r>
            <w:rPr>
              <w:b/>
              <w:bCs/>
              <w:noProof/>
            </w:rPr>
            <w:fldChar w:fldCharType="end"/>
          </w:r>
        </w:p>
      </w:sdtContent>
    </w:sdt>
    <w:p w:rsidR="00CE1BBA" w:rsidRDefault="00CE1BBA">
      <w:pPr>
        <w:tabs>
          <w:tab w:val="clear" w:pos="720"/>
          <w:tab w:val="clear" w:pos="1440"/>
          <w:tab w:val="clear" w:pos="2160"/>
          <w:tab w:val="clear" w:pos="2880"/>
          <w:tab w:val="clear" w:pos="4680"/>
          <w:tab w:val="clear" w:pos="5400"/>
          <w:tab w:val="clear" w:pos="9000"/>
        </w:tabs>
        <w:jc w:val="left"/>
        <w:rPr>
          <w:rFonts w:asciiTheme="minorHAnsi" w:hAnsiTheme="minorHAnsi" w:cstheme="minorHAnsi"/>
          <w:b/>
        </w:rPr>
      </w:pPr>
    </w:p>
    <w:p w:rsidR="009A30FF" w:rsidRDefault="009A30FF" w:rsidP="00213727">
      <w:pPr>
        <w:pStyle w:val="Heading1"/>
        <w:rPr>
          <w:rFonts w:asciiTheme="majorHAnsi" w:hAnsiTheme="majorHAnsi" w:cstheme="majorHAnsi"/>
          <w:b/>
          <w:color w:val="1F497D" w:themeColor="text2"/>
        </w:rPr>
      </w:pPr>
      <w:bookmarkStart w:id="1" w:name="_Toc503525771"/>
      <w:bookmarkStart w:id="2" w:name="_Toc532299847"/>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9A30FF" w:rsidRDefault="009A30FF" w:rsidP="00213727">
      <w:pPr>
        <w:pStyle w:val="Heading1"/>
        <w:rPr>
          <w:rFonts w:asciiTheme="majorHAnsi" w:hAnsiTheme="majorHAnsi" w:cstheme="majorHAnsi"/>
          <w:b/>
          <w:color w:val="1F497D" w:themeColor="text2"/>
        </w:rPr>
      </w:pPr>
    </w:p>
    <w:p w:rsidR="00F141A5" w:rsidRPr="00213727" w:rsidRDefault="001C6441" w:rsidP="00213727">
      <w:pPr>
        <w:pStyle w:val="Heading1"/>
        <w:rPr>
          <w:rFonts w:asciiTheme="majorHAnsi" w:hAnsiTheme="majorHAnsi" w:cstheme="majorHAnsi"/>
          <w:b/>
          <w:color w:val="1F497D" w:themeColor="text2"/>
        </w:rPr>
      </w:pPr>
      <w:r>
        <w:rPr>
          <w:rFonts w:asciiTheme="majorHAnsi" w:hAnsiTheme="majorHAnsi" w:cstheme="majorHAnsi"/>
          <w:b/>
          <w:color w:val="1F497D" w:themeColor="text2"/>
        </w:rPr>
        <w:lastRenderedPageBreak/>
        <w:t>I</w:t>
      </w:r>
      <w:r w:rsidR="00F141A5" w:rsidRPr="00213727">
        <w:rPr>
          <w:rFonts w:asciiTheme="majorHAnsi" w:hAnsiTheme="majorHAnsi" w:cstheme="majorHAnsi"/>
          <w:b/>
          <w:color w:val="1F497D" w:themeColor="text2"/>
        </w:rPr>
        <w:t>ntroduction</w:t>
      </w:r>
      <w:bookmarkEnd w:id="1"/>
      <w:bookmarkEnd w:id="2"/>
    </w:p>
    <w:p w:rsidR="003B3F3A" w:rsidRDefault="003B3F3A" w:rsidP="00B13FF3">
      <w:pPr>
        <w:jc w:val="left"/>
        <w:rPr>
          <w:rFonts w:asciiTheme="minorHAnsi" w:hAnsiTheme="minorHAnsi" w:cstheme="minorHAnsi"/>
        </w:rPr>
      </w:pPr>
    </w:p>
    <w:p w:rsidR="009615B2" w:rsidRDefault="009615B2" w:rsidP="009615B2">
      <w:pPr>
        <w:jc w:val="left"/>
        <w:rPr>
          <w:rFonts w:asciiTheme="minorHAnsi" w:hAnsiTheme="minorHAnsi" w:cstheme="minorHAnsi"/>
        </w:rPr>
      </w:pPr>
      <w:r w:rsidRPr="009615B2">
        <w:rPr>
          <w:rFonts w:asciiTheme="minorHAnsi" w:hAnsiTheme="minorHAnsi" w:cstheme="minorHAnsi"/>
        </w:rPr>
        <w:t>On 11 December 2006, Defra published a GB consultation document aimed to engage with all those who have an interest in developing policy on responsibility and cost sharing for animal health and welfare. The consultation set out the principles around which decisions on sharing responsibilities and costs could be made (Annex 3 refers). Most respondents welcomed the consultation as a positive step forward and agreed in general with the principle of responsibility and cost sharing.</w:t>
      </w:r>
    </w:p>
    <w:p w:rsidR="00053773" w:rsidRPr="009615B2" w:rsidRDefault="00053773" w:rsidP="009615B2">
      <w:pPr>
        <w:jc w:val="left"/>
        <w:rPr>
          <w:rFonts w:asciiTheme="minorHAnsi" w:hAnsiTheme="minorHAnsi" w:cstheme="minorHAnsi"/>
        </w:rPr>
      </w:pPr>
    </w:p>
    <w:p w:rsidR="003B3F3A" w:rsidRDefault="009615B2" w:rsidP="009615B2">
      <w:pPr>
        <w:jc w:val="left"/>
        <w:rPr>
          <w:rFonts w:asciiTheme="minorHAnsi" w:hAnsiTheme="minorHAnsi" w:cstheme="minorHAnsi"/>
        </w:rPr>
      </w:pPr>
      <w:r w:rsidRPr="009615B2">
        <w:rPr>
          <w:rFonts w:asciiTheme="minorHAnsi" w:hAnsiTheme="minorHAnsi" w:cstheme="minorHAnsi"/>
        </w:rPr>
        <w:t>Further consultations on the next step were held in England, Scotland and Wales in December 2007, inviting views from 375 stakeholders across GB on plans to share further responsibilities and costs for maintaining and improving animal health and welfare with livestock keepers and others associated with animal health and welfare. The consultation document detailed seven specific responsibilities and cost sharing proposals in respect of certain TSE related activities that government was funding but where the principal beneficiaries were specific livestock sectors or individuals participating in specific schemes. The proposals were to transfer responsibility for these activities or the cost of these activities to industry or, in the case of the scrapie proposals, to stop the activity if industry were unwilling to assume responsibility for it. Some respondents to this second consultation acknowledged that the cost of the TSE measures needed to be balanced more fairly between the taxpayer and industry. However, others felt that TSE controls were a public health issue that should be funded by the public purse. A number of respondents highlighted the need to apply the proposals evenly across industry and on a GB basis.</w:t>
      </w:r>
    </w:p>
    <w:p w:rsidR="008529CC" w:rsidRDefault="008529CC" w:rsidP="009615B2">
      <w:pPr>
        <w:jc w:val="left"/>
        <w:rPr>
          <w:rFonts w:asciiTheme="minorHAnsi" w:hAnsiTheme="minorHAnsi" w:cstheme="minorHAnsi"/>
        </w:rPr>
      </w:pPr>
    </w:p>
    <w:p w:rsidR="008529CC" w:rsidRPr="008529CC" w:rsidRDefault="008529CC" w:rsidP="009615B2">
      <w:pPr>
        <w:jc w:val="left"/>
        <w:rPr>
          <w:rFonts w:asciiTheme="minorHAnsi" w:hAnsiTheme="minorHAnsi" w:cstheme="minorHAnsi"/>
        </w:rPr>
      </w:pPr>
      <w:r>
        <w:rPr>
          <w:rFonts w:asciiTheme="minorHAnsi" w:hAnsiTheme="minorHAnsi" w:cstheme="minorHAnsi"/>
        </w:rPr>
        <w:t>In Scotland the principles and practice of responsibility and cost sharing in the management of animal health and welfare were further explored by an expert group in 2011. Their report (</w:t>
      </w:r>
      <w:hyperlink r:id="rId8" w:history="1">
        <w:r w:rsidRPr="000E040F">
          <w:rPr>
            <w:rStyle w:val="Hyperlink"/>
            <w:rFonts w:asciiTheme="minorHAnsi" w:hAnsiTheme="minorHAnsi" w:cstheme="minorHAnsi"/>
          </w:rPr>
          <w:t>https://www2.gov.scot/Resource/Doc/278281/0116275.pdf</w:t>
        </w:r>
      </w:hyperlink>
      <w:r>
        <w:rPr>
          <w:rFonts w:asciiTheme="minorHAnsi" w:hAnsiTheme="minorHAnsi" w:cstheme="minorHAnsi"/>
        </w:rPr>
        <w:t xml:space="preserve">) recommended that any implementation of cost sharing in Scotland should be taken forward in a phased and transparent manner. </w:t>
      </w:r>
    </w:p>
    <w:p w:rsidR="00213727" w:rsidRDefault="00213727" w:rsidP="00B13FF3">
      <w:pPr>
        <w:jc w:val="left"/>
        <w:rPr>
          <w:rFonts w:asciiTheme="minorHAnsi" w:hAnsiTheme="minorHAnsi" w:cstheme="minorHAnsi"/>
        </w:rPr>
      </w:pPr>
    </w:p>
    <w:p w:rsidR="003B3F3A" w:rsidRPr="00213727" w:rsidRDefault="00CE1BBA" w:rsidP="00213727">
      <w:pPr>
        <w:pStyle w:val="Heading1"/>
        <w:rPr>
          <w:rFonts w:asciiTheme="majorHAnsi" w:hAnsiTheme="majorHAnsi" w:cstheme="majorHAnsi"/>
          <w:b/>
          <w:color w:val="1F497D" w:themeColor="text2"/>
        </w:rPr>
      </w:pPr>
      <w:bookmarkStart w:id="3" w:name="_Toc503525772"/>
      <w:bookmarkStart w:id="4" w:name="_Toc532299848"/>
      <w:r w:rsidRPr="00213727">
        <w:rPr>
          <w:rFonts w:asciiTheme="majorHAnsi" w:hAnsiTheme="majorHAnsi" w:cstheme="majorHAnsi"/>
          <w:b/>
          <w:color w:val="1F497D" w:themeColor="text2"/>
        </w:rPr>
        <w:t>Background to t</w:t>
      </w:r>
      <w:r w:rsidR="003B3F3A" w:rsidRPr="00213727">
        <w:rPr>
          <w:rFonts w:asciiTheme="majorHAnsi" w:hAnsiTheme="majorHAnsi" w:cstheme="majorHAnsi"/>
          <w:b/>
          <w:color w:val="1F497D" w:themeColor="text2"/>
        </w:rPr>
        <w:t xml:space="preserve">he </w:t>
      </w:r>
      <w:bookmarkEnd w:id="3"/>
      <w:r w:rsidR="009615B2">
        <w:rPr>
          <w:rFonts w:asciiTheme="majorHAnsi" w:hAnsiTheme="majorHAnsi" w:cstheme="majorHAnsi"/>
          <w:b/>
          <w:color w:val="1F497D" w:themeColor="text2"/>
        </w:rPr>
        <w:t>Scottish BSE cost share proposal</w:t>
      </w:r>
      <w:bookmarkEnd w:id="4"/>
      <w:r w:rsidR="003B3F3A" w:rsidRPr="00213727">
        <w:rPr>
          <w:rFonts w:asciiTheme="majorHAnsi" w:hAnsiTheme="majorHAnsi" w:cstheme="majorHAnsi"/>
          <w:b/>
          <w:color w:val="1F497D" w:themeColor="text2"/>
        </w:rPr>
        <w:t xml:space="preserve"> </w:t>
      </w:r>
    </w:p>
    <w:p w:rsidR="00F141A5" w:rsidRDefault="00F141A5" w:rsidP="00B13FF3">
      <w:pPr>
        <w:jc w:val="left"/>
        <w:rPr>
          <w:rFonts w:asciiTheme="minorHAnsi" w:hAnsiTheme="minorHAnsi" w:cstheme="minorHAnsi"/>
        </w:rPr>
      </w:pPr>
    </w:p>
    <w:p w:rsidR="009615B2" w:rsidRPr="009615B2" w:rsidRDefault="009615B2" w:rsidP="009615B2">
      <w:pPr>
        <w:jc w:val="left"/>
        <w:rPr>
          <w:rFonts w:ascii="Arial" w:hAnsi="Arial" w:cs="Arial"/>
        </w:rPr>
      </w:pPr>
      <w:r w:rsidRPr="009615B2">
        <w:rPr>
          <w:rFonts w:ascii="Arial" w:hAnsi="Arial" w:cs="Arial"/>
        </w:rPr>
        <w:t>Transmissible Spongiform Encephalopathies ( TSEs) are fatal brain diseases that include Bovine Spongiform Encephalopathy ( BSE) in cattle and scrapie in sheep and goats. Exposure to BSE through the consumption of infected or contaminated meat is believed to be the primary cause of variant Creutzfeldt - Jakob disease ( vCJD) in humans. The European Food Safety Authority ( EFSA) has advised that BSE is the only animal TSE that has been shown to be a risk to human health.</w:t>
      </w:r>
    </w:p>
    <w:p w:rsidR="009615B2" w:rsidRDefault="009615B2" w:rsidP="009615B2">
      <w:pPr>
        <w:jc w:val="left"/>
        <w:rPr>
          <w:rFonts w:ascii="Arial" w:hAnsi="Arial" w:cs="Arial"/>
        </w:rPr>
      </w:pPr>
      <w:r w:rsidRPr="009615B2">
        <w:rPr>
          <w:rFonts w:ascii="Arial" w:hAnsi="Arial" w:cs="Arial"/>
        </w:rPr>
        <w:t>There are two forms of BSE: classical BSE, which is believed to be transmitted due to cattle eating contaminated feed primarily through deliberate or accidental inclusion of infective meat and bone meal; and atypical BSE, which is regarded by the World Organisation for Animal Health ( OIE) as a condition believed to occur spontaneously in all cattle populations at a very low rate.</w:t>
      </w:r>
    </w:p>
    <w:p w:rsidR="00053773" w:rsidRPr="009615B2" w:rsidRDefault="00053773" w:rsidP="009615B2">
      <w:pPr>
        <w:jc w:val="left"/>
        <w:rPr>
          <w:rFonts w:ascii="Arial" w:hAnsi="Arial" w:cs="Arial"/>
        </w:rPr>
      </w:pPr>
    </w:p>
    <w:p w:rsidR="002D2F65" w:rsidRDefault="009615B2" w:rsidP="009615B2">
      <w:pPr>
        <w:jc w:val="left"/>
        <w:rPr>
          <w:rFonts w:ascii="Arial" w:hAnsi="Arial" w:cs="Arial"/>
        </w:rPr>
      </w:pPr>
      <w:r w:rsidRPr="009615B2">
        <w:rPr>
          <w:rFonts w:ascii="Arial" w:hAnsi="Arial" w:cs="Arial"/>
        </w:rPr>
        <w:t xml:space="preserve">Regulation ( EC) No. 999/2001 of the European Parliament and the Council, as amended (the EU TSE Regulation) lays down rules for the prevention, control and eradication of TSEs, including BSE in cattle and scrapie in sheep and goats. The government seeks to implement TSE controls, in line with EU requirements, and in the interest of public health and animal health protection. The current domestic TSE </w:t>
      </w:r>
      <w:r w:rsidRPr="009615B2">
        <w:rPr>
          <w:rFonts w:ascii="Arial" w:hAnsi="Arial" w:cs="Arial"/>
        </w:rPr>
        <w:lastRenderedPageBreak/>
        <w:t>legislation in Scotland is the Transmissible Spongiform Encephalopath</w:t>
      </w:r>
      <w:r>
        <w:rPr>
          <w:rFonts w:ascii="Arial" w:hAnsi="Arial" w:cs="Arial"/>
        </w:rPr>
        <w:t>ies (Scotland) Regulations 2010</w:t>
      </w:r>
      <w:r w:rsidR="002570ED">
        <w:rPr>
          <w:rFonts w:ascii="Arial" w:hAnsi="Arial" w:cs="Arial"/>
        </w:rPr>
        <w:t>.</w:t>
      </w:r>
    </w:p>
    <w:p w:rsidR="00213727" w:rsidRPr="00365D92" w:rsidRDefault="00213727" w:rsidP="002D2F65">
      <w:pPr>
        <w:jc w:val="left"/>
        <w:rPr>
          <w:rFonts w:ascii="Arial" w:hAnsi="Arial" w:cs="Arial"/>
        </w:rPr>
      </w:pPr>
    </w:p>
    <w:p w:rsidR="00053773" w:rsidRDefault="00053773" w:rsidP="00213727">
      <w:pPr>
        <w:pStyle w:val="Heading1"/>
        <w:rPr>
          <w:rFonts w:asciiTheme="majorHAnsi" w:hAnsiTheme="majorHAnsi" w:cstheme="majorHAnsi"/>
          <w:b/>
          <w:color w:val="1F497D" w:themeColor="text2"/>
        </w:rPr>
      </w:pPr>
      <w:bookmarkStart w:id="5" w:name="_Toc503525773"/>
    </w:p>
    <w:p w:rsidR="00053773" w:rsidRDefault="00053773" w:rsidP="00213727">
      <w:pPr>
        <w:pStyle w:val="Heading1"/>
        <w:rPr>
          <w:rFonts w:asciiTheme="majorHAnsi" w:hAnsiTheme="majorHAnsi" w:cstheme="majorHAnsi"/>
          <w:b/>
          <w:color w:val="1F497D" w:themeColor="text2"/>
        </w:rPr>
      </w:pPr>
    </w:p>
    <w:p w:rsidR="00053773" w:rsidRDefault="00053773" w:rsidP="00213727">
      <w:pPr>
        <w:pStyle w:val="Heading1"/>
        <w:rPr>
          <w:rFonts w:asciiTheme="majorHAnsi" w:hAnsiTheme="majorHAnsi" w:cstheme="majorHAnsi"/>
          <w:b/>
          <w:color w:val="1F497D" w:themeColor="text2"/>
        </w:rPr>
      </w:pPr>
    </w:p>
    <w:p w:rsidR="0092631B" w:rsidRPr="00213727" w:rsidRDefault="0092631B" w:rsidP="00213727">
      <w:pPr>
        <w:pStyle w:val="Heading1"/>
        <w:rPr>
          <w:rFonts w:asciiTheme="majorHAnsi" w:hAnsiTheme="majorHAnsi" w:cstheme="majorHAnsi"/>
          <w:b/>
          <w:color w:val="1F497D" w:themeColor="text2"/>
        </w:rPr>
      </w:pPr>
      <w:bookmarkStart w:id="6" w:name="_Toc532299849"/>
      <w:r w:rsidRPr="00213727">
        <w:rPr>
          <w:rFonts w:asciiTheme="majorHAnsi" w:hAnsiTheme="majorHAnsi" w:cstheme="majorHAnsi"/>
          <w:b/>
          <w:color w:val="1F497D" w:themeColor="text2"/>
        </w:rPr>
        <w:t>Consultation responses</w:t>
      </w:r>
      <w:bookmarkEnd w:id="5"/>
      <w:bookmarkEnd w:id="6"/>
    </w:p>
    <w:p w:rsidR="00F141A5" w:rsidRPr="001B0DCA" w:rsidRDefault="00F141A5" w:rsidP="00B13FF3">
      <w:pPr>
        <w:jc w:val="left"/>
        <w:rPr>
          <w:rFonts w:asciiTheme="minorHAnsi" w:hAnsiTheme="minorHAnsi" w:cstheme="minorHAnsi"/>
          <w:szCs w:val="24"/>
        </w:rPr>
      </w:pPr>
    </w:p>
    <w:p w:rsidR="00F141A5" w:rsidRPr="001B0DCA" w:rsidRDefault="00F141A5"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r w:rsidRPr="001B0DCA">
        <w:rPr>
          <w:rFonts w:ascii="Arial" w:hAnsi="Arial" w:cs="Arial"/>
          <w:szCs w:val="24"/>
        </w:rPr>
        <w:t xml:space="preserve">The consultation opened on </w:t>
      </w:r>
      <w:r w:rsidR="00367FFA">
        <w:rPr>
          <w:rFonts w:ascii="Arial" w:hAnsi="Arial" w:cs="Arial"/>
          <w:szCs w:val="24"/>
        </w:rPr>
        <w:t>28</w:t>
      </w:r>
      <w:r w:rsidR="002D2F65" w:rsidRPr="001B0DCA">
        <w:rPr>
          <w:rFonts w:ascii="Arial" w:hAnsi="Arial" w:cs="Arial"/>
          <w:szCs w:val="24"/>
        </w:rPr>
        <w:t xml:space="preserve"> </w:t>
      </w:r>
      <w:r w:rsidR="00367FFA">
        <w:rPr>
          <w:rFonts w:ascii="Arial" w:hAnsi="Arial" w:cs="Arial"/>
          <w:szCs w:val="24"/>
        </w:rPr>
        <w:t>September</w:t>
      </w:r>
      <w:r w:rsidR="002D2F65" w:rsidRPr="001B0DCA">
        <w:rPr>
          <w:rFonts w:ascii="Arial" w:hAnsi="Arial" w:cs="Arial"/>
          <w:szCs w:val="24"/>
        </w:rPr>
        <w:t xml:space="preserve"> 201</w:t>
      </w:r>
      <w:r w:rsidR="00367FFA">
        <w:rPr>
          <w:rFonts w:ascii="Arial" w:hAnsi="Arial" w:cs="Arial"/>
          <w:szCs w:val="24"/>
        </w:rPr>
        <w:t>8</w:t>
      </w:r>
      <w:r w:rsidRPr="001B0DCA">
        <w:rPr>
          <w:rFonts w:ascii="Arial" w:hAnsi="Arial" w:cs="Arial"/>
          <w:szCs w:val="24"/>
        </w:rPr>
        <w:t xml:space="preserve"> and closed on </w:t>
      </w:r>
      <w:r w:rsidR="00367FFA">
        <w:rPr>
          <w:rFonts w:ascii="Arial" w:hAnsi="Arial" w:cs="Arial"/>
          <w:szCs w:val="24"/>
        </w:rPr>
        <w:t>9</w:t>
      </w:r>
      <w:r w:rsidRPr="001B0DCA">
        <w:rPr>
          <w:rFonts w:ascii="Arial" w:hAnsi="Arial" w:cs="Arial"/>
          <w:szCs w:val="24"/>
        </w:rPr>
        <w:t xml:space="preserve"> November 201</w:t>
      </w:r>
      <w:r w:rsidR="00367FFA">
        <w:rPr>
          <w:rFonts w:ascii="Arial" w:hAnsi="Arial" w:cs="Arial"/>
          <w:szCs w:val="24"/>
        </w:rPr>
        <w:t>8</w:t>
      </w:r>
      <w:r w:rsidR="002570ED">
        <w:rPr>
          <w:rFonts w:ascii="Arial" w:hAnsi="Arial" w:cs="Arial"/>
          <w:szCs w:val="24"/>
        </w:rPr>
        <w:t xml:space="preserve">. </w:t>
      </w:r>
      <w:r w:rsidRPr="001B0DCA">
        <w:rPr>
          <w:rFonts w:ascii="Arial" w:hAnsi="Arial" w:cs="Arial"/>
          <w:szCs w:val="24"/>
        </w:rPr>
        <w:t xml:space="preserve"> </w:t>
      </w:r>
      <w:r w:rsidR="00367FFA">
        <w:rPr>
          <w:rFonts w:ascii="Arial" w:hAnsi="Arial" w:cs="Arial"/>
          <w:szCs w:val="24"/>
        </w:rPr>
        <w:t>14</w:t>
      </w:r>
      <w:r w:rsidR="0092631B" w:rsidRPr="001B0DCA">
        <w:rPr>
          <w:rFonts w:ascii="Arial" w:hAnsi="Arial" w:cs="Arial"/>
          <w:szCs w:val="24"/>
        </w:rPr>
        <w:t xml:space="preserve"> </w:t>
      </w:r>
      <w:r w:rsidRPr="001B0DCA">
        <w:rPr>
          <w:rFonts w:ascii="Arial" w:hAnsi="Arial" w:cs="Arial"/>
          <w:szCs w:val="24"/>
        </w:rPr>
        <w:t>responses were received</w:t>
      </w:r>
      <w:r w:rsidR="00A874F1" w:rsidRPr="001B0DCA">
        <w:rPr>
          <w:rFonts w:ascii="Arial" w:hAnsi="Arial" w:cs="Arial"/>
          <w:szCs w:val="24"/>
        </w:rPr>
        <w:t xml:space="preserve"> from organisations and individuals</w:t>
      </w:r>
      <w:r w:rsidRPr="001B0DCA">
        <w:rPr>
          <w:rFonts w:ascii="Arial" w:hAnsi="Arial" w:cs="Arial"/>
          <w:szCs w:val="24"/>
        </w:rPr>
        <w:t>.</w:t>
      </w:r>
      <w:r w:rsidR="0092631B" w:rsidRPr="001B0DCA">
        <w:rPr>
          <w:rFonts w:ascii="Arial" w:hAnsi="Arial" w:cs="Arial"/>
          <w:szCs w:val="24"/>
        </w:rPr>
        <w:t xml:space="preserve">  </w:t>
      </w:r>
      <w:r w:rsidR="008E170A">
        <w:rPr>
          <w:rFonts w:ascii="Arial" w:hAnsi="Arial" w:cs="Arial"/>
          <w:b/>
          <w:szCs w:val="24"/>
        </w:rPr>
        <w:t>Figure</w:t>
      </w:r>
      <w:r w:rsidR="0092631B" w:rsidRPr="005C074D">
        <w:rPr>
          <w:rFonts w:ascii="Arial" w:hAnsi="Arial" w:cs="Arial"/>
          <w:b/>
          <w:szCs w:val="24"/>
        </w:rPr>
        <w:t xml:space="preserve"> </w:t>
      </w:r>
      <w:r w:rsidR="001B0DCA" w:rsidRPr="005C074D">
        <w:rPr>
          <w:rFonts w:ascii="Arial" w:hAnsi="Arial" w:cs="Arial"/>
          <w:b/>
          <w:szCs w:val="24"/>
        </w:rPr>
        <w:t>1</w:t>
      </w:r>
      <w:r w:rsidR="0092631B" w:rsidRPr="001B0DCA">
        <w:rPr>
          <w:rFonts w:ascii="Arial" w:hAnsi="Arial" w:cs="Arial"/>
          <w:szCs w:val="24"/>
        </w:rPr>
        <w:t xml:space="preserve"> shows </w:t>
      </w:r>
      <w:r w:rsidR="00471420">
        <w:rPr>
          <w:rFonts w:ascii="Arial" w:hAnsi="Arial" w:cs="Arial"/>
          <w:szCs w:val="24"/>
        </w:rPr>
        <w:t xml:space="preserve">a breakdown of the number of responses received by respondent type.   </w:t>
      </w:r>
      <w:r w:rsidR="0092631B" w:rsidRPr="001B0DCA">
        <w:rPr>
          <w:rFonts w:ascii="Arial" w:hAnsi="Arial" w:cs="Arial"/>
          <w:szCs w:val="24"/>
        </w:rPr>
        <w:t xml:space="preserve">A full list of respondents is in </w:t>
      </w:r>
      <w:r w:rsidR="0092631B" w:rsidRPr="005C074D">
        <w:rPr>
          <w:rFonts w:ascii="Arial" w:hAnsi="Arial" w:cs="Arial"/>
          <w:b/>
          <w:szCs w:val="24"/>
        </w:rPr>
        <w:t xml:space="preserve">Annex </w:t>
      </w:r>
      <w:r w:rsidR="005C074D" w:rsidRPr="005C074D">
        <w:rPr>
          <w:rFonts w:ascii="Arial" w:hAnsi="Arial" w:cs="Arial"/>
          <w:b/>
          <w:szCs w:val="24"/>
        </w:rPr>
        <w:t>A</w:t>
      </w:r>
      <w:r w:rsidR="0092631B" w:rsidRPr="001B0DCA">
        <w:rPr>
          <w:rFonts w:ascii="Arial" w:hAnsi="Arial" w:cs="Arial"/>
          <w:szCs w:val="24"/>
        </w:rPr>
        <w:t>.</w:t>
      </w:r>
    </w:p>
    <w:p w:rsidR="0092631B" w:rsidRPr="001B0DCA" w:rsidRDefault="0092631B"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p w:rsidR="0092631B" w:rsidRPr="00CE1BBA" w:rsidRDefault="008E170A"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b/>
          <w:sz w:val="20"/>
          <w:szCs w:val="22"/>
        </w:rPr>
      </w:pPr>
      <w:r>
        <w:rPr>
          <w:rFonts w:ascii="Arial" w:hAnsi="Arial" w:cs="Arial"/>
          <w:b/>
          <w:sz w:val="20"/>
          <w:szCs w:val="22"/>
        </w:rPr>
        <w:t>Figure</w:t>
      </w:r>
      <w:r w:rsidR="0092631B" w:rsidRPr="00CE1BBA">
        <w:rPr>
          <w:rFonts w:ascii="Arial" w:hAnsi="Arial" w:cs="Arial"/>
          <w:b/>
          <w:sz w:val="20"/>
          <w:szCs w:val="22"/>
        </w:rPr>
        <w:t xml:space="preserve"> </w:t>
      </w:r>
      <w:r w:rsidR="001B0DCA" w:rsidRPr="00CE1BBA">
        <w:rPr>
          <w:rFonts w:ascii="Arial" w:hAnsi="Arial" w:cs="Arial"/>
          <w:b/>
          <w:sz w:val="20"/>
          <w:szCs w:val="22"/>
        </w:rPr>
        <w:t>1:</w:t>
      </w:r>
      <w:r w:rsidR="0092631B" w:rsidRPr="00CE1BBA">
        <w:rPr>
          <w:rFonts w:ascii="Arial" w:hAnsi="Arial" w:cs="Arial"/>
          <w:b/>
          <w:sz w:val="20"/>
          <w:szCs w:val="22"/>
        </w:rPr>
        <w:t xml:space="preserve"> </w:t>
      </w:r>
      <w:r w:rsidR="00471420" w:rsidRPr="00CE1BBA">
        <w:rPr>
          <w:rFonts w:ascii="Arial" w:hAnsi="Arial" w:cs="Arial"/>
          <w:b/>
          <w:sz w:val="20"/>
          <w:szCs w:val="22"/>
        </w:rPr>
        <w:t>Respondents by type</w:t>
      </w:r>
    </w:p>
    <w:tbl>
      <w:tblPr>
        <w:tblStyle w:val="TableGrid"/>
        <w:tblW w:w="0" w:type="auto"/>
        <w:tblLook w:val="04A0" w:firstRow="1" w:lastRow="0" w:firstColumn="1" w:lastColumn="0" w:noHBand="0" w:noVBand="1"/>
      </w:tblPr>
      <w:tblGrid>
        <w:gridCol w:w="7196"/>
        <w:gridCol w:w="1417"/>
      </w:tblGrid>
      <w:tr w:rsidR="00471420" w:rsidRPr="001B0DCA" w:rsidTr="000010AF">
        <w:tc>
          <w:tcPr>
            <w:tcW w:w="7196" w:type="dxa"/>
            <w:shd w:val="clear" w:color="auto" w:fill="DBE5F1" w:themeFill="accent1" w:themeFillTint="33"/>
          </w:tcPr>
          <w:p w:rsidR="00471420" w:rsidRPr="006306B2" w:rsidRDefault="00471420"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b/>
                <w:sz w:val="20"/>
                <w:szCs w:val="22"/>
              </w:rPr>
            </w:pPr>
            <w:r w:rsidRPr="006306B2">
              <w:rPr>
                <w:rFonts w:ascii="Arial" w:hAnsi="Arial" w:cs="Arial"/>
                <w:b/>
                <w:sz w:val="20"/>
                <w:szCs w:val="22"/>
              </w:rPr>
              <w:t>Type of respondent</w:t>
            </w:r>
          </w:p>
        </w:tc>
        <w:tc>
          <w:tcPr>
            <w:tcW w:w="1417" w:type="dxa"/>
            <w:shd w:val="clear" w:color="auto" w:fill="DBE5F1" w:themeFill="accent1" w:themeFillTint="33"/>
          </w:tcPr>
          <w:p w:rsidR="00471420" w:rsidRPr="006306B2" w:rsidRDefault="00471420"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b/>
                <w:sz w:val="20"/>
                <w:szCs w:val="22"/>
              </w:rPr>
            </w:pPr>
            <w:r w:rsidRPr="006306B2">
              <w:rPr>
                <w:rFonts w:ascii="Arial" w:hAnsi="Arial" w:cs="Arial"/>
                <w:b/>
                <w:sz w:val="20"/>
                <w:szCs w:val="22"/>
              </w:rPr>
              <w:t>Number</w:t>
            </w:r>
          </w:p>
        </w:tc>
      </w:tr>
      <w:tr w:rsidR="00471420" w:rsidRPr="001B0DCA" w:rsidTr="00471420">
        <w:tc>
          <w:tcPr>
            <w:tcW w:w="7196" w:type="dxa"/>
          </w:tcPr>
          <w:p w:rsidR="00471420" w:rsidRPr="006306B2" w:rsidRDefault="008E170A"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b/>
                <w:sz w:val="20"/>
                <w:szCs w:val="22"/>
              </w:rPr>
            </w:pPr>
            <w:r>
              <w:rPr>
                <w:rFonts w:ascii="Arial" w:hAnsi="Arial" w:cs="Arial"/>
                <w:b/>
                <w:sz w:val="20"/>
                <w:szCs w:val="22"/>
              </w:rPr>
              <w:t>By o</w:t>
            </w:r>
            <w:r w:rsidR="00471420" w:rsidRPr="006306B2">
              <w:rPr>
                <w:rFonts w:ascii="Arial" w:hAnsi="Arial" w:cs="Arial"/>
                <w:b/>
                <w:sz w:val="20"/>
                <w:szCs w:val="22"/>
              </w:rPr>
              <w:t>rganisation:</w:t>
            </w:r>
          </w:p>
        </w:tc>
        <w:tc>
          <w:tcPr>
            <w:tcW w:w="1417" w:type="dxa"/>
          </w:tcPr>
          <w:p w:rsidR="00471420" w:rsidRPr="006306B2" w:rsidRDefault="00471420"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0"/>
                <w:szCs w:val="22"/>
              </w:rPr>
            </w:pPr>
          </w:p>
        </w:tc>
      </w:tr>
      <w:tr w:rsidR="00471420" w:rsidRPr="001B0DCA" w:rsidTr="00471420">
        <w:tc>
          <w:tcPr>
            <w:tcW w:w="7196" w:type="dxa"/>
          </w:tcPr>
          <w:p w:rsidR="00471420" w:rsidRPr="006306B2" w:rsidRDefault="00471420" w:rsidP="00471420">
            <w:pPr>
              <w:tabs>
                <w:tab w:val="clear" w:pos="720"/>
                <w:tab w:val="clear" w:pos="1440"/>
                <w:tab w:val="clear" w:pos="2160"/>
                <w:tab w:val="clear" w:pos="2880"/>
                <w:tab w:val="clear" w:pos="4680"/>
                <w:tab w:val="clear" w:pos="5400"/>
                <w:tab w:val="clear" w:pos="9000"/>
              </w:tabs>
              <w:autoSpaceDE w:val="0"/>
              <w:autoSpaceDN w:val="0"/>
              <w:adjustRightInd w:val="0"/>
              <w:ind w:left="720"/>
              <w:jc w:val="left"/>
              <w:rPr>
                <w:rFonts w:ascii="Arial" w:hAnsi="Arial" w:cs="Arial"/>
                <w:sz w:val="20"/>
                <w:szCs w:val="22"/>
              </w:rPr>
            </w:pPr>
            <w:r w:rsidRPr="006306B2">
              <w:rPr>
                <w:rFonts w:ascii="Arial" w:hAnsi="Arial" w:cs="Arial"/>
                <w:sz w:val="20"/>
                <w:szCs w:val="22"/>
              </w:rPr>
              <w:t>Industry representative bodies</w:t>
            </w:r>
          </w:p>
        </w:tc>
        <w:tc>
          <w:tcPr>
            <w:tcW w:w="1417" w:type="dxa"/>
          </w:tcPr>
          <w:p w:rsidR="00471420" w:rsidRPr="006306B2" w:rsidRDefault="00367FFA"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0"/>
                <w:szCs w:val="22"/>
              </w:rPr>
            </w:pPr>
            <w:r>
              <w:rPr>
                <w:rFonts w:ascii="Arial" w:hAnsi="Arial" w:cs="Arial"/>
                <w:sz w:val="20"/>
                <w:szCs w:val="22"/>
              </w:rPr>
              <w:t>3</w:t>
            </w:r>
          </w:p>
        </w:tc>
      </w:tr>
      <w:tr w:rsidR="00471420" w:rsidRPr="001B0DCA" w:rsidTr="00471420">
        <w:tc>
          <w:tcPr>
            <w:tcW w:w="7196" w:type="dxa"/>
          </w:tcPr>
          <w:p w:rsidR="00471420" w:rsidRPr="006306B2" w:rsidRDefault="00471420" w:rsidP="00471420">
            <w:pPr>
              <w:tabs>
                <w:tab w:val="clear" w:pos="720"/>
                <w:tab w:val="clear" w:pos="1440"/>
                <w:tab w:val="clear" w:pos="2160"/>
                <w:tab w:val="clear" w:pos="2880"/>
                <w:tab w:val="clear" w:pos="4680"/>
                <w:tab w:val="clear" w:pos="5400"/>
                <w:tab w:val="clear" w:pos="9000"/>
              </w:tabs>
              <w:autoSpaceDE w:val="0"/>
              <w:autoSpaceDN w:val="0"/>
              <w:adjustRightInd w:val="0"/>
              <w:ind w:left="720"/>
              <w:jc w:val="left"/>
              <w:rPr>
                <w:rFonts w:ascii="Arial" w:hAnsi="Arial" w:cs="Arial"/>
                <w:sz w:val="20"/>
                <w:szCs w:val="22"/>
              </w:rPr>
            </w:pPr>
            <w:r w:rsidRPr="006306B2">
              <w:rPr>
                <w:rFonts w:ascii="Arial" w:hAnsi="Arial" w:cs="Arial"/>
                <w:sz w:val="20"/>
                <w:szCs w:val="22"/>
              </w:rPr>
              <w:t>Local Authorities</w:t>
            </w:r>
          </w:p>
        </w:tc>
        <w:tc>
          <w:tcPr>
            <w:tcW w:w="1417" w:type="dxa"/>
          </w:tcPr>
          <w:p w:rsidR="00471420" w:rsidRPr="006306B2" w:rsidRDefault="00367FFA"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0"/>
                <w:szCs w:val="22"/>
              </w:rPr>
            </w:pPr>
            <w:r>
              <w:rPr>
                <w:rFonts w:ascii="Arial" w:hAnsi="Arial" w:cs="Arial"/>
                <w:sz w:val="20"/>
                <w:szCs w:val="22"/>
              </w:rPr>
              <w:t>3</w:t>
            </w:r>
          </w:p>
        </w:tc>
      </w:tr>
      <w:tr w:rsidR="00471420" w:rsidRPr="001B0DCA" w:rsidTr="00471420">
        <w:tc>
          <w:tcPr>
            <w:tcW w:w="7196" w:type="dxa"/>
          </w:tcPr>
          <w:p w:rsidR="00471420" w:rsidRPr="006306B2" w:rsidRDefault="00471420" w:rsidP="00471420">
            <w:pPr>
              <w:tabs>
                <w:tab w:val="clear" w:pos="720"/>
                <w:tab w:val="clear" w:pos="1440"/>
                <w:tab w:val="clear" w:pos="2160"/>
                <w:tab w:val="clear" w:pos="2880"/>
                <w:tab w:val="clear" w:pos="4680"/>
                <w:tab w:val="clear" w:pos="5400"/>
                <w:tab w:val="clear" w:pos="9000"/>
              </w:tabs>
              <w:autoSpaceDE w:val="0"/>
              <w:autoSpaceDN w:val="0"/>
              <w:adjustRightInd w:val="0"/>
              <w:ind w:left="720"/>
              <w:jc w:val="left"/>
              <w:rPr>
                <w:rFonts w:ascii="Arial" w:hAnsi="Arial" w:cs="Arial"/>
                <w:sz w:val="20"/>
                <w:szCs w:val="22"/>
              </w:rPr>
            </w:pPr>
            <w:r w:rsidRPr="006306B2">
              <w:rPr>
                <w:rFonts w:ascii="Arial" w:hAnsi="Arial" w:cs="Arial"/>
                <w:sz w:val="20"/>
                <w:szCs w:val="22"/>
              </w:rPr>
              <w:t>Private businesses</w:t>
            </w:r>
          </w:p>
        </w:tc>
        <w:tc>
          <w:tcPr>
            <w:tcW w:w="1417" w:type="dxa"/>
          </w:tcPr>
          <w:p w:rsidR="00471420" w:rsidRPr="006306B2" w:rsidRDefault="00367FFA"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0"/>
                <w:szCs w:val="22"/>
              </w:rPr>
            </w:pPr>
            <w:r>
              <w:rPr>
                <w:rFonts w:ascii="Arial" w:hAnsi="Arial" w:cs="Arial"/>
                <w:sz w:val="20"/>
                <w:szCs w:val="22"/>
              </w:rPr>
              <w:t>8</w:t>
            </w:r>
          </w:p>
        </w:tc>
      </w:tr>
      <w:tr w:rsidR="00471420" w:rsidRPr="001B0DCA" w:rsidTr="00471420">
        <w:tc>
          <w:tcPr>
            <w:tcW w:w="7196" w:type="dxa"/>
          </w:tcPr>
          <w:p w:rsidR="00471420" w:rsidRPr="006306B2" w:rsidRDefault="00471420" w:rsidP="00471420">
            <w:pPr>
              <w:tabs>
                <w:tab w:val="clear" w:pos="720"/>
                <w:tab w:val="clear" w:pos="1440"/>
                <w:tab w:val="clear" w:pos="2160"/>
                <w:tab w:val="clear" w:pos="2880"/>
                <w:tab w:val="clear" w:pos="4680"/>
                <w:tab w:val="clear" w:pos="5400"/>
                <w:tab w:val="clear" w:pos="9000"/>
              </w:tabs>
              <w:autoSpaceDE w:val="0"/>
              <w:autoSpaceDN w:val="0"/>
              <w:adjustRightInd w:val="0"/>
              <w:ind w:left="720"/>
              <w:jc w:val="left"/>
              <w:rPr>
                <w:rFonts w:ascii="Arial" w:hAnsi="Arial" w:cs="Arial"/>
                <w:sz w:val="20"/>
                <w:szCs w:val="22"/>
              </w:rPr>
            </w:pPr>
          </w:p>
        </w:tc>
        <w:tc>
          <w:tcPr>
            <w:tcW w:w="1417" w:type="dxa"/>
          </w:tcPr>
          <w:p w:rsidR="00471420" w:rsidRPr="006306B2" w:rsidRDefault="00471420"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0"/>
                <w:szCs w:val="22"/>
              </w:rPr>
            </w:pPr>
          </w:p>
        </w:tc>
      </w:tr>
      <w:tr w:rsidR="00471420" w:rsidRPr="001B0DCA" w:rsidTr="00471420">
        <w:tc>
          <w:tcPr>
            <w:tcW w:w="7196" w:type="dxa"/>
          </w:tcPr>
          <w:p w:rsidR="00471420" w:rsidRPr="006306B2" w:rsidRDefault="00471420"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0"/>
                <w:szCs w:val="22"/>
              </w:rPr>
            </w:pPr>
          </w:p>
        </w:tc>
        <w:tc>
          <w:tcPr>
            <w:tcW w:w="1417" w:type="dxa"/>
          </w:tcPr>
          <w:p w:rsidR="00471420" w:rsidRPr="006306B2" w:rsidRDefault="00471420"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0"/>
                <w:szCs w:val="22"/>
              </w:rPr>
            </w:pPr>
          </w:p>
        </w:tc>
      </w:tr>
      <w:tr w:rsidR="00471420" w:rsidRPr="001B0DCA" w:rsidTr="00471420">
        <w:tc>
          <w:tcPr>
            <w:tcW w:w="7196" w:type="dxa"/>
          </w:tcPr>
          <w:p w:rsidR="00471420" w:rsidRPr="006306B2" w:rsidRDefault="00471420" w:rsidP="009F1A21">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b/>
                <w:sz w:val="20"/>
                <w:szCs w:val="22"/>
              </w:rPr>
            </w:pPr>
            <w:r w:rsidRPr="006306B2">
              <w:rPr>
                <w:rFonts w:ascii="Arial" w:hAnsi="Arial" w:cs="Arial"/>
                <w:b/>
                <w:sz w:val="20"/>
                <w:szCs w:val="22"/>
              </w:rPr>
              <w:t xml:space="preserve">Total </w:t>
            </w:r>
            <w:r w:rsidR="008E170A">
              <w:rPr>
                <w:rFonts w:ascii="Arial" w:hAnsi="Arial" w:cs="Arial"/>
                <w:b/>
                <w:sz w:val="20"/>
                <w:szCs w:val="22"/>
              </w:rPr>
              <w:t xml:space="preserve">responding from </w:t>
            </w:r>
            <w:r w:rsidRPr="006306B2">
              <w:rPr>
                <w:rFonts w:ascii="Arial" w:hAnsi="Arial" w:cs="Arial"/>
                <w:b/>
                <w:sz w:val="20"/>
                <w:szCs w:val="22"/>
              </w:rPr>
              <w:t>organisations</w:t>
            </w:r>
          </w:p>
        </w:tc>
        <w:tc>
          <w:tcPr>
            <w:tcW w:w="1417" w:type="dxa"/>
          </w:tcPr>
          <w:p w:rsidR="00471420" w:rsidRPr="006306B2" w:rsidRDefault="00367FFA" w:rsidP="00835A9A">
            <w:pPr>
              <w:tabs>
                <w:tab w:val="clear" w:pos="720"/>
                <w:tab w:val="clear" w:pos="1440"/>
                <w:tab w:val="clear" w:pos="2160"/>
                <w:tab w:val="clear" w:pos="2880"/>
                <w:tab w:val="clear" w:pos="4680"/>
                <w:tab w:val="clear" w:pos="5400"/>
                <w:tab w:val="clear" w:pos="9000"/>
              </w:tabs>
              <w:autoSpaceDE w:val="0"/>
              <w:autoSpaceDN w:val="0"/>
              <w:adjustRightInd w:val="0"/>
              <w:jc w:val="right"/>
              <w:rPr>
                <w:rFonts w:ascii="Arial" w:hAnsi="Arial" w:cs="Arial"/>
                <w:b/>
                <w:sz w:val="20"/>
                <w:szCs w:val="22"/>
              </w:rPr>
            </w:pPr>
            <w:r>
              <w:rPr>
                <w:rFonts w:ascii="Arial" w:hAnsi="Arial" w:cs="Arial"/>
                <w:b/>
                <w:sz w:val="20"/>
                <w:szCs w:val="22"/>
              </w:rPr>
              <w:t>6</w:t>
            </w:r>
          </w:p>
        </w:tc>
      </w:tr>
      <w:tr w:rsidR="00471420" w:rsidRPr="001B0DCA" w:rsidTr="00471420">
        <w:tc>
          <w:tcPr>
            <w:tcW w:w="7196" w:type="dxa"/>
          </w:tcPr>
          <w:p w:rsidR="00471420" w:rsidRPr="006306B2" w:rsidRDefault="00471420" w:rsidP="009F1A21">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b/>
                <w:sz w:val="20"/>
                <w:szCs w:val="22"/>
              </w:rPr>
            </w:pPr>
            <w:r w:rsidRPr="006306B2">
              <w:rPr>
                <w:rFonts w:ascii="Arial" w:hAnsi="Arial" w:cs="Arial"/>
                <w:b/>
                <w:sz w:val="20"/>
                <w:szCs w:val="22"/>
              </w:rPr>
              <w:t xml:space="preserve">Total </w:t>
            </w:r>
            <w:r w:rsidR="008E170A">
              <w:rPr>
                <w:rFonts w:ascii="Arial" w:hAnsi="Arial" w:cs="Arial"/>
                <w:b/>
                <w:sz w:val="20"/>
                <w:szCs w:val="22"/>
              </w:rPr>
              <w:t xml:space="preserve">responding as </w:t>
            </w:r>
            <w:r w:rsidRPr="006306B2">
              <w:rPr>
                <w:rFonts w:ascii="Arial" w:hAnsi="Arial" w:cs="Arial"/>
                <w:b/>
                <w:sz w:val="20"/>
                <w:szCs w:val="22"/>
              </w:rPr>
              <w:t>individuals</w:t>
            </w:r>
          </w:p>
        </w:tc>
        <w:tc>
          <w:tcPr>
            <w:tcW w:w="1417" w:type="dxa"/>
          </w:tcPr>
          <w:p w:rsidR="00471420" w:rsidRPr="006306B2" w:rsidRDefault="00367FFA" w:rsidP="00835A9A">
            <w:pPr>
              <w:tabs>
                <w:tab w:val="clear" w:pos="720"/>
                <w:tab w:val="clear" w:pos="1440"/>
                <w:tab w:val="clear" w:pos="2160"/>
                <w:tab w:val="clear" w:pos="2880"/>
                <w:tab w:val="clear" w:pos="4680"/>
                <w:tab w:val="clear" w:pos="5400"/>
                <w:tab w:val="clear" w:pos="9000"/>
              </w:tabs>
              <w:autoSpaceDE w:val="0"/>
              <w:autoSpaceDN w:val="0"/>
              <w:adjustRightInd w:val="0"/>
              <w:jc w:val="right"/>
              <w:rPr>
                <w:rFonts w:ascii="Arial" w:hAnsi="Arial" w:cs="Arial"/>
                <w:b/>
                <w:sz w:val="20"/>
                <w:szCs w:val="22"/>
              </w:rPr>
            </w:pPr>
            <w:r>
              <w:rPr>
                <w:rFonts w:ascii="Arial" w:hAnsi="Arial" w:cs="Arial"/>
                <w:b/>
                <w:sz w:val="20"/>
                <w:szCs w:val="22"/>
              </w:rPr>
              <w:t>8</w:t>
            </w:r>
          </w:p>
        </w:tc>
      </w:tr>
      <w:tr w:rsidR="00471420" w:rsidRPr="001B0DCA" w:rsidTr="00471420">
        <w:tc>
          <w:tcPr>
            <w:tcW w:w="7196" w:type="dxa"/>
          </w:tcPr>
          <w:p w:rsidR="00471420" w:rsidRPr="006306B2" w:rsidRDefault="00471420"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b/>
                <w:sz w:val="20"/>
                <w:szCs w:val="22"/>
              </w:rPr>
            </w:pPr>
            <w:r w:rsidRPr="006306B2">
              <w:rPr>
                <w:rFonts w:ascii="Arial" w:hAnsi="Arial" w:cs="Arial"/>
                <w:b/>
                <w:sz w:val="20"/>
                <w:szCs w:val="22"/>
              </w:rPr>
              <w:t>Grand total</w:t>
            </w:r>
          </w:p>
        </w:tc>
        <w:tc>
          <w:tcPr>
            <w:tcW w:w="1417" w:type="dxa"/>
          </w:tcPr>
          <w:p w:rsidR="00471420" w:rsidRPr="006306B2" w:rsidRDefault="00367FFA" w:rsidP="00471420">
            <w:pPr>
              <w:tabs>
                <w:tab w:val="clear" w:pos="720"/>
                <w:tab w:val="clear" w:pos="1440"/>
                <w:tab w:val="clear" w:pos="2160"/>
                <w:tab w:val="clear" w:pos="2880"/>
                <w:tab w:val="clear" w:pos="4680"/>
                <w:tab w:val="clear" w:pos="5400"/>
                <w:tab w:val="clear" w:pos="9000"/>
              </w:tabs>
              <w:autoSpaceDE w:val="0"/>
              <w:autoSpaceDN w:val="0"/>
              <w:adjustRightInd w:val="0"/>
              <w:jc w:val="right"/>
              <w:rPr>
                <w:rFonts w:ascii="Arial" w:hAnsi="Arial" w:cs="Arial"/>
                <w:b/>
                <w:sz w:val="20"/>
                <w:szCs w:val="22"/>
              </w:rPr>
            </w:pPr>
            <w:r>
              <w:rPr>
                <w:rFonts w:ascii="Arial" w:hAnsi="Arial" w:cs="Arial"/>
                <w:b/>
                <w:sz w:val="20"/>
                <w:szCs w:val="22"/>
              </w:rPr>
              <w:t>14</w:t>
            </w:r>
          </w:p>
        </w:tc>
      </w:tr>
    </w:tbl>
    <w:p w:rsidR="00E520C2" w:rsidRPr="001B0DCA" w:rsidRDefault="00E520C2" w:rsidP="00B13FF3">
      <w:pPr>
        <w:jc w:val="left"/>
        <w:rPr>
          <w:rFonts w:asciiTheme="minorHAnsi" w:hAnsiTheme="minorHAnsi" w:cstheme="minorHAnsi"/>
          <w:szCs w:val="24"/>
        </w:rPr>
      </w:pPr>
    </w:p>
    <w:p w:rsidR="00F141A5" w:rsidRPr="001B0DCA" w:rsidRDefault="00F141A5"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r w:rsidRPr="001B0DCA">
        <w:rPr>
          <w:rFonts w:ascii="Arial" w:hAnsi="Arial" w:cs="Arial"/>
          <w:szCs w:val="24"/>
        </w:rPr>
        <w:t xml:space="preserve">Responses to the consultation were encouraged via Citizen Space, </w:t>
      </w:r>
      <w:r w:rsidR="008E170A">
        <w:rPr>
          <w:rFonts w:ascii="Arial" w:hAnsi="Arial" w:cs="Arial"/>
          <w:szCs w:val="24"/>
        </w:rPr>
        <w:t xml:space="preserve">an online portal, </w:t>
      </w:r>
      <w:r w:rsidRPr="001B0DCA">
        <w:rPr>
          <w:rFonts w:ascii="Arial" w:hAnsi="Arial" w:cs="Arial"/>
          <w:szCs w:val="24"/>
        </w:rPr>
        <w:t>which nearly all respondents used</w:t>
      </w:r>
      <w:r w:rsidR="0017067A">
        <w:rPr>
          <w:rFonts w:ascii="Arial" w:hAnsi="Arial" w:cs="Arial"/>
          <w:szCs w:val="24"/>
        </w:rPr>
        <w:t>.</w:t>
      </w:r>
      <w:r w:rsidRPr="001B0DCA">
        <w:rPr>
          <w:rFonts w:ascii="Arial" w:hAnsi="Arial" w:cs="Arial"/>
          <w:szCs w:val="24"/>
        </w:rPr>
        <w:t xml:space="preserve"> All responses were combined onto one Excel </w:t>
      </w:r>
      <w:r w:rsidR="0017067A">
        <w:rPr>
          <w:rFonts w:ascii="Arial" w:hAnsi="Arial" w:cs="Arial"/>
          <w:szCs w:val="24"/>
        </w:rPr>
        <w:t xml:space="preserve">spread sheet </w:t>
      </w:r>
      <w:r w:rsidRPr="001B0DCA">
        <w:rPr>
          <w:rFonts w:ascii="Arial" w:hAnsi="Arial" w:cs="Arial"/>
          <w:szCs w:val="24"/>
        </w:rPr>
        <w:t>in order to undertake the analysis.</w:t>
      </w:r>
    </w:p>
    <w:p w:rsidR="00F141A5" w:rsidRPr="001B0DCA" w:rsidRDefault="00817727"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r>
        <w:rPr>
          <w:rFonts w:ascii="Arial" w:hAnsi="Arial" w:cs="Arial"/>
          <w:szCs w:val="24"/>
        </w:rPr>
        <w:t>Where</w:t>
      </w:r>
      <w:r w:rsidRPr="001B0DCA">
        <w:rPr>
          <w:rFonts w:ascii="Arial" w:hAnsi="Arial" w:cs="Arial"/>
          <w:szCs w:val="24"/>
        </w:rPr>
        <w:t xml:space="preserve"> </w:t>
      </w:r>
      <w:r w:rsidR="0076113E" w:rsidRPr="001B0DCA">
        <w:rPr>
          <w:rFonts w:ascii="Arial" w:hAnsi="Arial" w:cs="Arial"/>
          <w:szCs w:val="24"/>
        </w:rPr>
        <w:t>the respondent gave permission to publish, their original response can be found on the Scottish Government’s website at:</w:t>
      </w:r>
    </w:p>
    <w:p w:rsidR="00F141A5" w:rsidRPr="001B0DCA" w:rsidRDefault="00F141A5"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bookmarkStart w:id="7" w:name="_Toc503525774"/>
    <w:p w:rsidR="00150C2C" w:rsidRDefault="00150C2C" w:rsidP="00921949">
      <w:pPr>
        <w:pStyle w:val="Heading4"/>
        <w:rPr>
          <w:rStyle w:val="Hyperlink"/>
          <w:rFonts w:ascii="Arial" w:hAnsi="Arial" w:cs="Arial"/>
          <w:bCs w:val="0"/>
          <w:i w:val="0"/>
          <w:szCs w:val="24"/>
          <w:lang w:eastAsia="en-GB"/>
        </w:rPr>
      </w:pPr>
      <w:r>
        <w:rPr>
          <w:rStyle w:val="Hyperlink"/>
          <w:rFonts w:ascii="Arial" w:hAnsi="Arial" w:cs="Arial"/>
          <w:bCs w:val="0"/>
          <w:i w:val="0"/>
          <w:szCs w:val="24"/>
          <w:lang w:eastAsia="en-GB"/>
        </w:rPr>
        <w:fldChar w:fldCharType="begin"/>
      </w:r>
      <w:r>
        <w:rPr>
          <w:rStyle w:val="Hyperlink"/>
          <w:rFonts w:ascii="Arial" w:hAnsi="Arial" w:cs="Arial"/>
          <w:bCs w:val="0"/>
          <w:i w:val="0"/>
          <w:szCs w:val="24"/>
          <w:lang w:eastAsia="en-GB"/>
        </w:rPr>
        <w:instrText xml:space="preserve"> HYPERLINK "</w:instrText>
      </w:r>
      <w:r w:rsidRPr="00150C2C">
        <w:rPr>
          <w:rStyle w:val="Hyperlink"/>
          <w:rFonts w:ascii="Arial" w:hAnsi="Arial" w:cs="Arial"/>
          <w:bCs w:val="0"/>
          <w:i w:val="0"/>
          <w:szCs w:val="24"/>
          <w:lang w:eastAsia="en-GB"/>
        </w:rPr>
        <w:instrText>https://consult.gov.scot/animal-health-and-welfare/transferring-cost-of-bse/</w:instrText>
      </w:r>
      <w:r>
        <w:rPr>
          <w:rStyle w:val="Hyperlink"/>
          <w:rFonts w:ascii="Arial" w:hAnsi="Arial" w:cs="Arial"/>
          <w:bCs w:val="0"/>
          <w:i w:val="0"/>
          <w:szCs w:val="24"/>
          <w:lang w:eastAsia="en-GB"/>
        </w:rPr>
        <w:instrText xml:space="preserve">" </w:instrText>
      </w:r>
      <w:r>
        <w:rPr>
          <w:rStyle w:val="Hyperlink"/>
          <w:rFonts w:ascii="Arial" w:hAnsi="Arial" w:cs="Arial"/>
          <w:bCs w:val="0"/>
          <w:i w:val="0"/>
          <w:szCs w:val="24"/>
          <w:lang w:eastAsia="en-GB"/>
        </w:rPr>
        <w:fldChar w:fldCharType="separate"/>
      </w:r>
      <w:r w:rsidRPr="00EF20BF">
        <w:rPr>
          <w:rStyle w:val="Hyperlink"/>
          <w:rFonts w:ascii="Arial" w:hAnsi="Arial" w:cs="Arial"/>
          <w:bCs w:val="0"/>
          <w:i w:val="0"/>
          <w:szCs w:val="24"/>
          <w:lang w:eastAsia="en-GB"/>
        </w:rPr>
        <w:t>https://consult.gov.scot/animal-health-and-welfare/transferring-cost-of-bse/</w:t>
      </w:r>
      <w:r>
        <w:rPr>
          <w:rStyle w:val="Hyperlink"/>
          <w:rFonts w:ascii="Arial" w:hAnsi="Arial" w:cs="Arial"/>
          <w:bCs w:val="0"/>
          <w:i w:val="0"/>
          <w:szCs w:val="24"/>
          <w:lang w:eastAsia="en-GB"/>
        </w:rPr>
        <w:fldChar w:fldCharType="end"/>
      </w:r>
    </w:p>
    <w:p w:rsidR="00F141A5" w:rsidRPr="008F6F26" w:rsidRDefault="0092631B" w:rsidP="00921949">
      <w:pPr>
        <w:pStyle w:val="Heading4"/>
        <w:rPr>
          <w:rFonts w:asciiTheme="majorHAnsi" w:hAnsiTheme="majorHAnsi" w:cstheme="majorHAnsi"/>
          <w:b/>
          <w:i w:val="0"/>
          <w:color w:val="1F497D" w:themeColor="text2"/>
          <w:szCs w:val="24"/>
        </w:rPr>
      </w:pPr>
      <w:r w:rsidRPr="008F6F26">
        <w:rPr>
          <w:rFonts w:asciiTheme="majorHAnsi" w:hAnsiTheme="majorHAnsi" w:cstheme="majorHAnsi"/>
          <w:b/>
          <w:i w:val="0"/>
          <w:color w:val="1F497D" w:themeColor="text2"/>
          <w:szCs w:val="24"/>
        </w:rPr>
        <w:t>Analysis of responses</w:t>
      </w:r>
      <w:bookmarkEnd w:id="7"/>
    </w:p>
    <w:p w:rsidR="0092631B" w:rsidRPr="001B0DCA" w:rsidRDefault="0092631B"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p w:rsidR="0092631B" w:rsidRPr="001B0DCA" w:rsidRDefault="0092631B"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r w:rsidRPr="001B0DCA">
        <w:rPr>
          <w:rFonts w:ascii="Arial" w:hAnsi="Arial" w:cs="Arial"/>
          <w:szCs w:val="24"/>
        </w:rPr>
        <w:t xml:space="preserve">The analysis of the responses is presented </w:t>
      </w:r>
      <w:r w:rsidR="003B3F3A" w:rsidRPr="001B0DCA">
        <w:rPr>
          <w:rFonts w:ascii="Arial" w:hAnsi="Arial" w:cs="Arial"/>
          <w:szCs w:val="24"/>
        </w:rPr>
        <w:t xml:space="preserve">in the same order </w:t>
      </w:r>
      <w:r w:rsidR="00817727">
        <w:rPr>
          <w:rFonts w:ascii="Arial" w:hAnsi="Arial" w:cs="Arial"/>
          <w:szCs w:val="24"/>
        </w:rPr>
        <w:t>as</w:t>
      </w:r>
      <w:r w:rsidR="00817727" w:rsidRPr="001B0DCA">
        <w:rPr>
          <w:rFonts w:ascii="Arial" w:hAnsi="Arial" w:cs="Arial"/>
          <w:szCs w:val="24"/>
        </w:rPr>
        <w:t xml:space="preserve"> </w:t>
      </w:r>
      <w:r w:rsidRPr="001B0DCA">
        <w:rPr>
          <w:rFonts w:ascii="Arial" w:hAnsi="Arial" w:cs="Arial"/>
          <w:szCs w:val="24"/>
        </w:rPr>
        <w:t xml:space="preserve">the proposal </w:t>
      </w:r>
      <w:r w:rsidR="00817727">
        <w:rPr>
          <w:rFonts w:ascii="Arial" w:hAnsi="Arial" w:cs="Arial"/>
          <w:szCs w:val="24"/>
        </w:rPr>
        <w:t>listed</w:t>
      </w:r>
      <w:r w:rsidRPr="001B0DCA">
        <w:rPr>
          <w:rFonts w:ascii="Arial" w:hAnsi="Arial" w:cs="Arial"/>
          <w:szCs w:val="24"/>
        </w:rPr>
        <w:t xml:space="preserve"> in the consultation document.  The consultation posed </w:t>
      </w:r>
      <w:r w:rsidR="00053773">
        <w:rPr>
          <w:rFonts w:ascii="Arial" w:hAnsi="Arial" w:cs="Arial"/>
          <w:szCs w:val="24"/>
        </w:rPr>
        <w:t>1 question</w:t>
      </w:r>
      <w:r w:rsidR="00365EBA" w:rsidRPr="001B0DCA">
        <w:rPr>
          <w:rFonts w:ascii="Arial" w:hAnsi="Arial" w:cs="Arial"/>
          <w:szCs w:val="24"/>
        </w:rPr>
        <w:t>.</w:t>
      </w:r>
    </w:p>
    <w:p w:rsidR="00365EBA" w:rsidRPr="001B0DCA" w:rsidRDefault="00365EBA"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p w:rsidR="00365EBA" w:rsidRPr="001B0DCA" w:rsidRDefault="00365EBA"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r w:rsidRPr="001B0DCA">
        <w:rPr>
          <w:rFonts w:ascii="Arial" w:hAnsi="Arial" w:cs="Arial"/>
          <w:szCs w:val="24"/>
        </w:rPr>
        <w:t>The analysis is based on the views of those who responded to the consultation and is not necessarily representative of the wider population.</w:t>
      </w:r>
    </w:p>
    <w:p w:rsidR="00213727" w:rsidRDefault="00213727" w:rsidP="00921949">
      <w:pPr>
        <w:pStyle w:val="Heading4"/>
        <w:rPr>
          <w:rFonts w:asciiTheme="majorHAnsi" w:hAnsiTheme="majorHAnsi" w:cstheme="majorHAnsi"/>
          <w:b/>
          <w:i w:val="0"/>
          <w:color w:val="1F497D" w:themeColor="text2"/>
        </w:rPr>
      </w:pPr>
    </w:p>
    <w:p w:rsidR="00150C2C" w:rsidRDefault="00150C2C" w:rsidP="00150C2C">
      <w:pPr>
        <w:rPr>
          <w:lang w:eastAsia="en-US"/>
        </w:rPr>
      </w:pPr>
    </w:p>
    <w:p w:rsidR="00150C2C" w:rsidRDefault="00150C2C" w:rsidP="00150C2C">
      <w:pPr>
        <w:rPr>
          <w:lang w:eastAsia="en-US"/>
        </w:rPr>
      </w:pPr>
    </w:p>
    <w:p w:rsidR="00150C2C" w:rsidRPr="00150C2C" w:rsidRDefault="00150C2C" w:rsidP="00150C2C">
      <w:pPr>
        <w:rPr>
          <w:lang w:eastAsia="en-US"/>
        </w:rPr>
      </w:pPr>
    </w:p>
    <w:p w:rsidR="00213727" w:rsidRDefault="00213727" w:rsidP="00921949">
      <w:pPr>
        <w:pStyle w:val="Heading4"/>
        <w:rPr>
          <w:rFonts w:asciiTheme="majorHAnsi" w:hAnsiTheme="majorHAnsi" w:cstheme="majorHAnsi"/>
          <w:b/>
          <w:i w:val="0"/>
          <w:color w:val="1F497D" w:themeColor="text2"/>
        </w:rPr>
      </w:pPr>
    </w:p>
    <w:p w:rsidR="00FB749B" w:rsidRPr="00FB749B" w:rsidRDefault="00FB749B" w:rsidP="00FB749B">
      <w:pPr>
        <w:rPr>
          <w:lang w:eastAsia="en-US"/>
        </w:rPr>
      </w:pPr>
    </w:p>
    <w:p w:rsidR="00213727" w:rsidRDefault="00213727" w:rsidP="00213727">
      <w:pPr>
        <w:pStyle w:val="Heading1"/>
        <w:rPr>
          <w:rFonts w:asciiTheme="majorHAnsi" w:hAnsiTheme="majorHAnsi" w:cstheme="majorHAnsi"/>
          <w:b/>
          <w:color w:val="1F497D" w:themeColor="text2"/>
        </w:rPr>
      </w:pPr>
    </w:p>
    <w:p w:rsidR="0076113E" w:rsidRPr="00213727" w:rsidRDefault="0076113E" w:rsidP="00213727">
      <w:pPr>
        <w:pStyle w:val="Heading1"/>
        <w:rPr>
          <w:rFonts w:asciiTheme="majorHAnsi" w:hAnsiTheme="majorHAnsi" w:cstheme="majorHAnsi"/>
          <w:b/>
          <w:color w:val="1F497D" w:themeColor="text2"/>
        </w:rPr>
      </w:pPr>
      <w:bookmarkStart w:id="8" w:name="_Toc503525775"/>
      <w:bookmarkStart w:id="9" w:name="_Toc532299850"/>
      <w:r w:rsidRPr="00213727">
        <w:rPr>
          <w:rFonts w:asciiTheme="majorHAnsi" w:hAnsiTheme="majorHAnsi" w:cstheme="majorHAnsi"/>
          <w:b/>
          <w:color w:val="1F497D" w:themeColor="text2"/>
        </w:rPr>
        <w:lastRenderedPageBreak/>
        <w:t xml:space="preserve">Proposal 1 – </w:t>
      </w:r>
      <w:bookmarkEnd w:id="8"/>
      <w:r w:rsidR="005C548E">
        <w:rPr>
          <w:rFonts w:asciiTheme="majorHAnsi" w:hAnsiTheme="majorHAnsi" w:cstheme="majorHAnsi"/>
          <w:b/>
          <w:color w:val="1F497D" w:themeColor="text2"/>
        </w:rPr>
        <w:t>Move Brain stem sampling of TSE testing of fallen s</w:t>
      </w:r>
      <w:r w:rsidR="001C6441">
        <w:rPr>
          <w:rFonts w:asciiTheme="majorHAnsi" w:hAnsiTheme="majorHAnsi" w:cstheme="majorHAnsi"/>
          <w:b/>
          <w:color w:val="1F497D" w:themeColor="text2"/>
        </w:rPr>
        <w:t>tock over 48 months to industry</w:t>
      </w:r>
      <w:bookmarkEnd w:id="9"/>
    </w:p>
    <w:p w:rsidR="0076113E" w:rsidRPr="001B0DCA" w:rsidRDefault="0076113E"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p w:rsidR="00150C2C" w:rsidRDefault="00150C2C" w:rsidP="00150C2C">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r w:rsidRPr="00150C2C">
        <w:rPr>
          <w:rFonts w:ascii="Arial" w:hAnsi="Arial" w:cs="Arial"/>
          <w:szCs w:val="24"/>
        </w:rPr>
        <w:t>To establish national incidences of BSE it is an EU requirement that all EU-born cattle (excluding those born in Romania and Bulgaria) over 48 months of age that die or are killed other than for human consumption (commonly known as 'fallen stock') are tested for BSE. (For fallen stock cattle born in Romania and Bulgaria or outside the EU the relevant age for testing is 24 months or older, but there are a negligible number of these cattle in the UK.)</w:t>
      </w:r>
    </w:p>
    <w:p w:rsidR="00053773" w:rsidRPr="00150C2C" w:rsidRDefault="00053773" w:rsidP="00150C2C">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p w:rsidR="00150C2C" w:rsidRDefault="00150C2C" w:rsidP="00150C2C">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r w:rsidRPr="00150C2C">
        <w:rPr>
          <w:rFonts w:ascii="Arial" w:hAnsi="Arial" w:cs="Arial"/>
          <w:szCs w:val="24"/>
        </w:rPr>
        <w:t>The carcases of fallen stock cattle that require BSE testing are transported to government approved sampling sites where trained staff takes a small sample of brain material for testing before the carcases are incinerated. The farming industry currently pays all the costs of transportation and destruction of the carcases by disposal sites, with the cost of taking fallen stock samples, at a price of £6.25 excl VAT/ £7.50 incl VAT (per sample), transporting the samples to the relevant laboratory, and the laboratory tests being borne by the taxpayer.</w:t>
      </w:r>
    </w:p>
    <w:p w:rsidR="00053773" w:rsidRPr="00150C2C" w:rsidRDefault="00053773" w:rsidP="00150C2C">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p w:rsidR="00150C2C" w:rsidRDefault="00150C2C" w:rsidP="00150C2C">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r w:rsidRPr="00150C2C">
        <w:rPr>
          <w:rFonts w:ascii="Arial" w:hAnsi="Arial" w:cs="Arial"/>
          <w:szCs w:val="24"/>
        </w:rPr>
        <w:t>We propose to transfer the cost of taking fallen stock samples for mandatory BSE testing from the taxpayer to the farming businesses that already have to submit these carcases to such disposal sites for sampling and processing. This would result in a more equitable sharing of the cost of BSE surveillance between the farming industry and the taxpayer, by transferring the cost from the taxpayer to those farming businesses in Scotland that receive and benefit from the EU BSE surveillance programme, while continuing to safeguard public and animal health (by monitoring for incidence) in a proportionate way. The taxpayer would continue to pay for the cost of transporting the samples to the government approved testing laboratory and for the testing itself.</w:t>
      </w:r>
    </w:p>
    <w:p w:rsidR="00053773" w:rsidRPr="00150C2C" w:rsidRDefault="00053773" w:rsidP="00150C2C">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p w:rsidR="00CE1BBA" w:rsidRDefault="00150C2C" w:rsidP="00150C2C">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6"/>
          <w:szCs w:val="26"/>
        </w:rPr>
      </w:pPr>
      <w:r w:rsidRPr="00150C2C">
        <w:rPr>
          <w:rFonts w:ascii="Arial" w:hAnsi="Arial" w:cs="Arial"/>
          <w:szCs w:val="24"/>
        </w:rPr>
        <w:t>Over the financial years 2016 and 2017, the average number of samples taken annually in Scotland was 22,083. On this basis, the total annual average cost of this proposal to the cattle farming industry in Scotland would be £165,622 (incl VAT) per year, with an equivalent saving to the taxpayer. The cost per holding would depend upon its number of fallen stock cattle aged over 48 months per year. As there are approximately 12,619 cattle holdings in Scotland, the average would be two fallen stock cattle aged over 48 months per year, giving an average annual cost per holding of £15.00 (incl VAT)</w:t>
      </w:r>
      <w:r w:rsidR="00FB749B">
        <w:rPr>
          <w:rFonts w:ascii="Arial" w:hAnsi="Arial" w:cs="Arial"/>
          <w:szCs w:val="24"/>
        </w:rPr>
        <w:t>.</w:t>
      </w:r>
    </w:p>
    <w:p w:rsidR="00350FBB" w:rsidRPr="00213727" w:rsidRDefault="00350FBB" w:rsidP="00213727">
      <w:pPr>
        <w:pStyle w:val="Heading4"/>
        <w:rPr>
          <w:rFonts w:asciiTheme="majorHAnsi" w:hAnsiTheme="majorHAnsi" w:cstheme="majorHAnsi"/>
          <w:b/>
          <w:i w:val="0"/>
          <w:color w:val="4F81BD" w:themeColor="accent1"/>
        </w:rPr>
      </w:pPr>
      <w:bookmarkStart w:id="10" w:name="_Toc503525776"/>
      <w:r w:rsidRPr="00213727">
        <w:rPr>
          <w:rFonts w:asciiTheme="majorHAnsi" w:hAnsiTheme="majorHAnsi" w:cstheme="majorHAnsi"/>
          <w:b/>
          <w:i w:val="0"/>
          <w:color w:val="4F81BD" w:themeColor="accent1"/>
        </w:rPr>
        <w:t xml:space="preserve">Question 1:  </w:t>
      </w:r>
      <w:bookmarkEnd w:id="10"/>
      <w:r w:rsidR="00150C2C" w:rsidRPr="00150C2C">
        <w:rPr>
          <w:rFonts w:asciiTheme="majorHAnsi" w:hAnsiTheme="majorHAnsi" w:cstheme="majorHAnsi"/>
          <w:b/>
          <w:i w:val="0"/>
          <w:color w:val="4F81BD" w:themeColor="accent1"/>
        </w:rPr>
        <w:t>Have you any comments on the proposal to transfer the cost of sampling fallen stock cattle from the taxpayer to the businesses in Scotland, which benefit from the service?</w:t>
      </w:r>
    </w:p>
    <w:p w:rsidR="0076113E" w:rsidRDefault="0076113E"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6"/>
          <w:szCs w:val="26"/>
        </w:rPr>
      </w:pPr>
    </w:p>
    <w:p w:rsidR="00053773" w:rsidRDefault="00591321" w:rsidP="00350FBB">
      <w:pPr>
        <w:jc w:val="left"/>
        <w:rPr>
          <w:rFonts w:ascii="Arial" w:hAnsi="Arial" w:cs="Arial"/>
        </w:rPr>
      </w:pPr>
      <w:r>
        <w:rPr>
          <w:rFonts w:ascii="Arial" w:hAnsi="Arial" w:cs="Arial"/>
        </w:rPr>
        <w:t>The majority of  r</w:t>
      </w:r>
      <w:r w:rsidR="00350FBB" w:rsidRPr="00B40C25">
        <w:rPr>
          <w:rFonts w:ascii="Arial" w:hAnsi="Arial" w:cs="Arial"/>
        </w:rPr>
        <w:t xml:space="preserve">espondents </w:t>
      </w:r>
      <w:r>
        <w:rPr>
          <w:rFonts w:ascii="Arial" w:hAnsi="Arial" w:cs="Arial"/>
        </w:rPr>
        <w:t>disagreed with the proposal to transfer the cost:</w:t>
      </w:r>
      <w:r w:rsidR="00350FBB" w:rsidRPr="00B40C25">
        <w:rPr>
          <w:rFonts w:ascii="Arial" w:hAnsi="Arial" w:cs="Arial"/>
        </w:rPr>
        <w:t xml:space="preserve"> </w:t>
      </w:r>
      <w:r>
        <w:rPr>
          <w:rFonts w:ascii="Arial" w:hAnsi="Arial" w:cs="Arial"/>
        </w:rPr>
        <w:t>79</w:t>
      </w:r>
      <w:r w:rsidR="00350FBB" w:rsidRPr="00B40C25">
        <w:rPr>
          <w:rFonts w:ascii="Arial" w:hAnsi="Arial" w:cs="Arial"/>
        </w:rPr>
        <w:t xml:space="preserve">% answered </w:t>
      </w:r>
      <w:r>
        <w:rPr>
          <w:rFonts w:ascii="Arial" w:hAnsi="Arial" w:cs="Arial"/>
        </w:rPr>
        <w:t>no</w:t>
      </w:r>
      <w:r w:rsidR="00350FBB" w:rsidRPr="00B40C25">
        <w:rPr>
          <w:rFonts w:ascii="Arial" w:hAnsi="Arial" w:cs="Arial"/>
        </w:rPr>
        <w:t>, with comments such as “</w:t>
      </w:r>
      <w:r>
        <w:rPr>
          <w:rFonts w:ascii="Arial" w:hAnsi="Arial" w:cs="Arial"/>
        </w:rPr>
        <w:t>It’s a public health issue</w:t>
      </w:r>
      <w:r w:rsidR="00350FBB" w:rsidRPr="00B40C25">
        <w:rPr>
          <w:rFonts w:ascii="Arial" w:hAnsi="Arial" w:cs="Arial"/>
        </w:rPr>
        <w:t>”</w:t>
      </w:r>
      <w:r w:rsidR="00141E38">
        <w:rPr>
          <w:rFonts w:ascii="Arial" w:hAnsi="Arial" w:cs="Arial"/>
        </w:rPr>
        <w:t>, “I</w:t>
      </w:r>
      <w:r>
        <w:rPr>
          <w:rFonts w:ascii="Arial" w:hAnsi="Arial" w:cs="Arial"/>
        </w:rPr>
        <w:t>t’s more of a benefit to the taxpayer rather than industry” and “To the wider population this works out as pence per person”</w:t>
      </w:r>
      <w:r w:rsidR="00350FBB" w:rsidRPr="00B40C25">
        <w:rPr>
          <w:rFonts w:ascii="Arial" w:hAnsi="Arial" w:cs="Arial"/>
        </w:rPr>
        <w:t>.</w:t>
      </w:r>
      <w:r w:rsidR="009D6B55">
        <w:rPr>
          <w:rFonts w:ascii="Arial" w:hAnsi="Arial" w:cs="Arial"/>
        </w:rPr>
        <w:t xml:space="preserve">  The</w:t>
      </w:r>
      <w:r>
        <w:rPr>
          <w:rFonts w:ascii="Arial" w:hAnsi="Arial" w:cs="Arial"/>
        </w:rPr>
        <w:t xml:space="preserve"> minority </w:t>
      </w:r>
      <w:r w:rsidR="009D6B55">
        <w:rPr>
          <w:rFonts w:ascii="Arial" w:hAnsi="Arial" w:cs="Arial"/>
        </w:rPr>
        <w:t>support</w:t>
      </w:r>
      <w:r>
        <w:rPr>
          <w:rFonts w:ascii="Arial" w:hAnsi="Arial" w:cs="Arial"/>
        </w:rPr>
        <w:t>ing the transfer of cost</w:t>
      </w:r>
      <w:r w:rsidR="009D6B55">
        <w:rPr>
          <w:rFonts w:ascii="Arial" w:hAnsi="Arial" w:cs="Arial"/>
        </w:rPr>
        <w:t xml:space="preserve"> </w:t>
      </w:r>
      <w:r>
        <w:rPr>
          <w:rFonts w:ascii="Arial" w:hAnsi="Arial" w:cs="Arial"/>
        </w:rPr>
        <w:t>answered “The cost is not excessive when you consider the cost already borne by industry” and “It’s a very sensible idea, it’s not the taxpayer who causes BSE</w:t>
      </w:r>
      <w:r w:rsidR="009D6B55">
        <w:rPr>
          <w:rFonts w:ascii="Arial" w:hAnsi="Arial" w:cs="Arial"/>
        </w:rPr>
        <w:t xml:space="preserve">”. </w:t>
      </w:r>
    </w:p>
    <w:p w:rsidR="00350FBB" w:rsidRDefault="00350FBB" w:rsidP="00350FBB">
      <w:pPr>
        <w:jc w:val="left"/>
        <w:rPr>
          <w:rFonts w:ascii="Arial" w:hAnsi="Arial" w:cs="Arial"/>
          <w:b/>
        </w:rPr>
      </w:pPr>
      <w:r w:rsidRPr="00B40C25">
        <w:rPr>
          <w:rFonts w:ascii="Arial" w:hAnsi="Arial" w:cs="Arial"/>
        </w:rPr>
        <w:t xml:space="preserve">  </w:t>
      </w:r>
    </w:p>
    <w:p w:rsidR="00CE1BBA" w:rsidRDefault="00CE1BBA"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6"/>
          <w:szCs w:val="26"/>
        </w:rPr>
      </w:pPr>
    </w:p>
    <w:p w:rsidR="00350FBB" w:rsidRDefault="008E170A" w:rsidP="00350FBB">
      <w:pPr>
        <w:jc w:val="left"/>
        <w:rPr>
          <w:rFonts w:ascii="Arial" w:hAnsi="Arial" w:cs="Arial"/>
          <w:b/>
        </w:rPr>
      </w:pPr>
      <w:r w:rsidRPr="00053773">
        <w:rPr>
          <w:rFonts w:ascii="Arial" w:hAnsi="Arial" w:cs="Arial"/>
          <w:b/>
          <w:i/>
          <w:sz w:val="20"/>
        </w:rPr>
        <w:lastRenderedPageBreak/>
        <w:t>Figure</w:t>
      </w:r>
      <w:r w:rsidR="00350FBB" w:rsidRPr="00053773">
        <w:rPr>
          <w:rFonts w:ascii="Arial" w:hAnsi="Arial" w:cs="Arial"/>
          <w:b/>
          <w:i/>
          <w:sz w:val="20"/>
        </w:rPr>
        <w:t xml:space="preserve"> </w:t>
      </w:r>
      <w:r w:rsidR="001B0DCA" w:rsidRPr="00053773">
        <w:rPr>
          <w:rFonts w:ascii="Arial" w:hAnsi="Arial" w:cs="Arial"/>
          <w:b/>
          <w:i/>
          <w:sz w:val="20"/>
        </w:rPr>
        <w:t>2</w:t>
      </w:r>
      <w:r w:rsidR="00350FBB" w:rsidRPr="00053773">
        <w:rPr>
          <w:rFonts w:ascii="Arial" w:hAnsi="Arial" w:cs="Arial"/>
          <w:b/>
          <w:i/>
          <w:sz w:val="20"/>
        </w:rPr>
        <w:t>:</w:t>
      </w:r>
      <w:r w:rsidR="00350FBB" w:rsidRPr="00053773">
        <w:rPr>
          <w:rFonts w:ascii="Arial" w:hAnsi="Arial" w:cs="Arial"/>
          <w:b/>
          <w:bCs/>
          <w:i/>
          <w:sz w:val="16"/>
          <w:lang w:val="en-US"/>
        </w:rPr>
        <w:t xml:space="preserve"> </w:t>
      </w:r>
      <w:r w:rsidR="00350FBB" w:rsidRPr="00053773">
        <w:rPr>
          <w:rFonts w:ascii="Arial" w:hAnsi="Arial" w:cs="Arial"/>
          <w:b/>
          <w:bCs/>
          <w:i/>
          <w:sz w:val="20"/>
          <w:lang w:val="en-US"/>
        </w:rPr>
        <w:t>Do</w:t>
      </w:r>
      <w:r w:rsidR="00350FBB" w:rsidRPr="00B40C25">
        <w:rPr>
          <w:rFonts w:ascii="Arial" w:hAnsi="Arial" w:cs="Arial"/>
          <w:b/>
          <w:bCs/>
          <w:i/>
          <w:sz w:val="20"/>
          <w:lang w:val="en-US"/>
        </w:rPr>
        <w:t xml:space="preserve"> you agree </w:t>
      </w:r>
      <w:r w:rsidR="00591321">
        <w:rPr>
          <w:rFonts w:ascii="Arial" w:hAnsi="Arial" w:cs="Arial"/>
          <w:b/>
          <w:bCs/>
          <w:i/>
          <w:sz w:val="20"/>
          <w:lang w:val="en-US"/>
        </w:rPr>
        <w:t>that TSE brain stem sampling costs should be transferred to industry</w:t>
      </w:r>
      <w:r w:rsidR="00350FBB" w:rsidRPr="00B40C25">
        <w:rPr>
          <w:rFonts w:ascii="Arial" w:hAnsi="Arial" w:cs="Arial"/>
          <w:b/>
          <w:bCs/>
          <w:i/>
          <w:sz w:val="20"/>
          <w:lang w:val="en-US"/>
        </w:rPr>
        <w:t>?</w:t>
      </w:r>
    </w:p>
    <w:p w:rsidR="00350FBB" w:rsidRDefault="00350FBB" w:rsidP="00350FBB">
      <w:pPr>
        <w:jc w:val="left"/>
        <w:rPr>
          <w:noProof/>
        </w:rPr>
      </w:pPr>
    </w:p>
    <w:p w:rsidR="00591321" w:rsidRDefault="00591321" w:rsidP="00350FBB">
      <w:pPr>
        <w:jc w:val="left"/>
        <w:rPr>
          <w:rFonts w:ascii="Arial" w:hAnsi="Arial" w:cs="Arial"/>
        </w:rPr>
      </w:pPr>
      <w:r>
        <w:rPr>
          <w:noProof/>
        </w:rPr>
        <w:drawing>
          <wp:inline distT="0" distB="0" distL="0" distR="0" wp14:anchorId="3B19B792" wp14:editId="64A43B3C">
            <wp:extent cx="5524501"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E1BBA" w:rsidRDefault="00CE1BBA"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6"/>
          <w:szCs w:val="26"/>
        </w:rPr>
      </w:pPr>
    </w:p>
    <w:p w:rsidR="00213727" w:rsidRDefault="00213727" w:rsidP="00FC1E3B">
      <w:pPr>
        <w:pStyle w:val="Heading1"/>
        <w:rPr>
          <w:rFonts w:asciiTheme="majorHAnsi" w:hAnsiTheme="majorHAnsi" w:cstheme="majorHAnsi"/>
          <w:b/>
          <w:color w:val="4F81BD" w:themeColor="accent1"/>
        </w:rPr>
      </w:pPr>
    </w:p>
    <w:p w:rsidR="004A6B72" w:rsidRPr="0013131F" w:rsidRDefault="008F0356" w:rsidP="0013131F">
      <w:pPr>
        <w:pStyle w:val="Heading1"/>
        <w:rPr>
          <w:rFonts w:asciiTheme="majorHAnsi" w:hAnsiTheme="majorHAnsi" w:cstheme="majorHAnsi"/>
          <w:b/>
          <w:color w:val="1F497D" w:themeColor="text2"/>
        </w:rPr>
      </w:pPr>
      <w:bookmarkStart w:id="11" w:name="_Toc503525811"/>
      <w:bookmarkStart w:id="12" w:name="_Toc532299851"/>
      <w:r w:rsidRPr="0013131F">
        <w:rPr>
          <w:rFonts w:asciiTheme="majorHAnsi" w:hAnsiTheme="majorHAnsi" w:cstheme="majorHAnsi"/>
          <w:b/>
          <w:color w:val="1F497D" w:themeColor="text2"/>
        </w:rPr>
        <w:t>Consultation Feedback</w:t>
      </w:r>
      <w:bookmarkEnd w:id="11"/>
      <w:bookmarkEnd w:id="12"/>
    </w:p>
    <w:p w:rsidR="008F0356" w:rsidRDefault="008F0356"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6"/>
          <w:szCs w:val="26"/>
        </w:rPr>
      </w:pPr>
    </w:p>
    <w:p w:rsidR="008F0356" w:rsidRDefault="008F0356"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r w:rsidRPr="00083F39">
        <w:rPr>
          <w:rFonts w:ascii="Arial" w:hAnsi="Arial" w:cs="Arial"/>
          <w:szCs w:val="24"/>
        </w:rPr>
        <w:t>A</w:t>
      </w:r>
      <w:r w:rsidR="009401B7">
        <w:rPr>
          <w:rFonts w:ascii="Arial" w:hAnsi="Arial" w:cs="Arial"/>
          <w:szCs w:val="24"/>
        </w:rPr>
        <w:t>fter answering</w:t>
      </w:r>
      <w:r w:rsidRPr="00083F39">
        <w:rPr>
          <w:rFonts w:ascii="Arial" w:hAnsi="Arial" w:cs="Arial"/>
          <w:szCs w:val="24"/>
        </w:rPr>
        <w:t xml:space="preserve"> the questions, respondents were asked if they would like to provide feedback in order to help improve future consultations and this section outlines the findings from these responses.</w:t>
      </w:r>
    </w:p>
    <w:p w:rsidR="00053773" w:rsidRPr="00083F39" w:rsidRDefault="00053773"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p w:rsidR="008F0356" w:rsidRDefault="008F0356"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6"/>
          <w:szCs w:val="26"/>
        </w:rPr>
      </w:pPr>
    </w:p>
    <w:p w:rsidR="008F0356" w:rsidRPr="00E960F2" w:rsidRDefault="008E170A"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b/>
          <w:i/>
          <w:sz w:val="20"/>
          <w:szCs w:val="26"/>
        </w:rPr>
      </w:pPr>
      <w:r>
        <w:rPr>
          <w:rFonts w:ascii="Arial" w:hAnsi="Arial" w:cs="Arial"/>
          <w:b/>
          <w:i/>
          <w:sz w:val="20"/>
          <w:szCs w:val="26"/>
        </w:rPr>
        <w:t>Figure</w:t>
      </w:r>
      <w:r w:rsidR="00053773">
        <w:rPr>
          <w:rFonts w:ascii="Arial" w:hAnsi="Arial" w:cs="Arial"/>
          <w:b/>
          <w:i/>
          <w:sz w:val="20"/>
          <w:szCs w:val="26"/>
        </w:rPr>
        <w:t xml:space="preserve"> 3</w:t>
      </w:r>
      <w:r w:rsidR="00E960F2" w:rsidRPr="00E960F2">
        <w:rPr>
          <w:rFonts w:ascii="Arial" w:hAnsi="Arial" w:cs="Arial"/>
          <w:b/>
          <w:i/>
          <w:sz w:val="20"/>
          <w:szCs w:val="26"/>
        </w:rPr>
        <w:t xml:space="preserve">:  </w:t>
      </w:r>
      <w:r w:rsidR="008F0356" w:rsidRPr="00E960F2">
        <w:rPr>
          <w:rFonts w:ascii="Arial" w:hAnsi="Arial" w:cs="Arial"/>
          <w:b/>
          <w:i/>
          <w:sz w:val="20"/>
          <w:szCs w:val="26"/>
        </w:rPr>
        <w:t>How satisfied were you with this consultation?</w:t>
      </w:r>
    </w:p>
    <w:tbl>
      <w:tblPr>
        <w:tblStyle w:val="MediumList2-Accent1"/>
        <w:tblW w:w="0" w:type="auto"/>
        <w:tblLook w:val="04A0" w:firstRow="1" w:lastRow="0" w:firstColumn="1" w:lastColumn="0" w:noHBand="0" w:noVBand="1"/>
      </w:tblPr>
      <w:tblGrid>
        <w:gridCol w:w="1485"/>
        <w:gridCol w:w="1236"/>
        <w:gridCol w:w="1235"/>
        <w:gridCol w:w="1294"/>
        <w:gridCol w:w="1294"/>
        <w:gridCol w:w="1295"/>
        <w:gridCol w:w="1167"/>
      </w:tblGrid>
      <w:tr w:rsidR="00E960F2" w:rsidTr="004823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6" w:type="dxa"/>
            <w:tcBorders>
              <w:right w:val="single" w:sz="4" w:space="0" w:color="auto"/>
            </w:tcBorders>
            <w:shd w:val="clear" w:color="auto" w:fill="DBE5F1" w:themeFill="accent1" w:themeFillTint="33"/>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rPr>
                <w:rFonts w:ascii="Arial" w:hAnsi="Arial" w:cs="Arial"/>
                <w:b/>
                <w:sz w:val="20"/>
              </w:rPr>
            </w:pPr>
          </w:p>
        </w:tc>
        <w:tc>
          <w:tcPr>
            <w:tcW w:w="1240" w:type="dxa"/>
            <w:tcBorders>
              <w:left w:val="single" w:sz="4" w:space="0" w:color="auto"/>
              <w:right w:val="single" w:sz="4" w:space="0" w:color="auto"/>
            </w:tcBorders>
            <w:shd w:val="clear" w:color="auto" w:fill="DBE5F1" w:themeFill="accent1" w:themeFillTint="33"/>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537FC">
              <w:rPr>
                <w:rFonts w:ascii="Arial" w:hAnsi="Arial" w:cs="Arial"/>
                <w:sz w:val="20"/>
              </w:rPr>
              <w:t xml:space="preserve">Very </w:t>
            </w:r>
            <w:r>
              <w:rPr>
                <w:rFonts w:ascii="Arial" w:hAnsi="Arial" w:cs="Arial"/>
                <w:sz w:val="20"/>
              </w:rPr>
              <w:t>s</w:t>
            </w:r>
            <w:r w:rsidRPr="00F537FC">
              <w:rPr>
                <w:rFonts w:ascii="Arial" w:hAnsi="Arial" w:cs="Arial"/>
                <w:sz w:val="20"/>
              </w:rPr>
              <w:t>atisfied</w:t>
            </w:r>
          </w:p>
        </w:tc>
        <w:tc>
          <w:tcPr>
            <w:tcW w:w="1239" w:type="dxa"/>
            <w:tcBorders>
              <w:left w:val="single" w:sz="4" w:space="0" w:color="auto"/>
              <w:right w:val="single" w:sz="4" w:space="0" w:color="auto"/>
            </w:tcBorders>
            <w:shd w:val="clear" w:color="auto" w:fill="DBE5F1" w:themeFill="accent1" w:themeFillTint="33"/>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537FC">
              <w:rPr>
                <w:rFonts w:ascii="Arial" w:hAnsi="Arial" w:cs="Arial"/>
                <w:sz w:val="20"/>
              </w:rPr>
              <w:t xml:space="preserve">Slightly </w:t>
            </w:r>
            <w:r>
              <w:rPr>
                <w:rFonts w:ascii="Arial" w:hAnsi="Arial" w:cs="Arial"/>
                <w:sz w:val="20"/>
              </w:rPr>
              <w:t>s</w:t>
            </w:r>
            <w:r w:rsidRPr="00F537FC">
              <w:rPr>
                <w:rFonts w:ascii="Arial" w:hAnsi="Arial" w:cs="Arial"/>
                <w:sz w:val="20"/>
              </w:rPr>
              <w:t>atisfied</w:t>
            </w:r>
          </w:p>
        </w:tc>
        <w:tc>
          <w:tcPr>
            <w:tcW w:w="1295" w:type="dxa"/>
            <w:tcBorders>
              <w:left w:val="single" w:sz="4" w:space="0" w:color="auto"/>
              <w:right w:val="single" w:sz="4" w:space="0" w:color="auto"/>
            </w:tcBorders>
            <w:shd w:val="clear" w:color="auto" w:fill="DBE5F1" w:themeFill="accent1" w:themeFillTint="33"/>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537FC">
              <w:rPr>
                <w:rFonts w:ascii="Arial" w:hAnsi="Arial" w:cs="Arial"/>
                <w:sz w:val="20"/>
              </w:rPr>
              <w:t xml:space="preserve">Neither </w:t>
            </w:r>
            <w:r>
              <w:rPr>
                <w:rFonts w:ascii="Arial" w:hAnsi="Arial" w:cs="Arial"/>
                <w:sz w:val="20"/>
              </w:rPr>
              <w:t>s</w:t>
            </w:r>
            <w:r w:rsidRPr="00F537FC">
              <w:rPr>
                <w:rFonts w:ascii="Arial" w:hAnsi="Arial" w:cs="Arial"/>
                <w:sz w:val="20"/>
              </w:rPr>
              <w:t>atisfied or dissatisfied</w:t>
            </w:r>
          </w:p>
        </w:tc>
        <w:tc>
          <w:tcPr>
            <w:tcW w:w="1295" w:type="dxa"/>
            <w:tcBorders>
              <w:left w:val="single" w:sz="4" w:space="0" w:color="auto"/>
              <w:right w:val="single" w:sz="4" w:space="0" w:color="auto"/>
            </w:tcBorders>
            <w:shd w:val="clear" w:color="auto" w:fill="DBE5F1" w:themeFill="accent1" w:themeFillTint="33"/>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537FC">
              <w:rPr>
                <w:rFonts w:ascii="Arial" w:hAnsi="Arial" w:cs="Arial"/>
                <w:sz w:val="20"/>
              </w:rPr>
              <w:t>Slightly dissatisfied</w:t>
            </w:r>
          </w:p>
        </w:tc>
        <w:tc>
          <w:tcPr>
            <w:tcW w:w="1296" w:type="dxa"/>
            <w:tcBorders>
              <w:left w:val="single" w:sz="4" w:space="0" w:color="auto"/>
              <w:right w:val="single" w:sz="4" w:space="0" w:color="auto"/>
            </w:tcBorders>
            <w:shd w:val="clear" w:color="auto" w:fill="DBE5F1" w:themeFill="accent1" w:themeFillTint="33"/>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537FC">
              <w:rPr>
                <w:rFonts w:ascii="Arial" w:hAnsi="Arial" w:cs="Arial"/>
                <w:sz w:val="20"/>
              </w:rPr>
              <w:t>Very dissatisfied</w:t>
            </w:r>
          </w:p>
        </w:tc>
        <w:tc>
          <w:tcPr>
            <w:tcW w:w="1175" w:type="dxa"/>
            <w:tcBorders>
              <w:left w:val="single" w:sz="4" w:space="0" w:color="auto"/>
            </w:tcBorders>
            <w:shd w:val="clear" w:color="auto" w:fill="DBE5F1" w:themeFill="accent1" w:themeFillTint="33"/>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537FC">
              <w:rPr>
                <w:rFonts w:ascii="Arial" w:hAnsi="Arial" w:cs="Arial"/>
                <w:sz w:val="20"/>
              </w:rPr>
              <w:t>No reply</w:t>
            </w:r>
          </w:p>
        </w:tc>
      </w:tr>
      <w:tr w:rsidR="00E960F2" w:rsidTr="00482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tcBorders>
              <w:top w:val="single" w:sz="24" w:space="0" w:color="4F81BD" w:themeColor="accent1"/>
              <w:bottom w:val="single" w:sz="4" w:space="0" w:color="auto"/>
              <w:right w:val="single" w:sz="4" w:space="0" w:color="auto"/>
            </w:tcBorders>
          </w:tcPr>
          <w:p w:rsidR="00F537FC" w:rsidRPr="00F537FC" w:rsidRDefault="00F537FC" w:rsidP="00B4540D">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0"/>
              </w:rPr>
            </w:pPr>
            <w:r w:rsidRPr="00F537FC">
              <w:rPr>
                <w:rFonts w:ascii="Arial" w:hAnsi="Arial" w:cs="Arial"/>
                <w:sz w:val="20"/>
              </w:rPr>
              <w:t>Industry representative bodies</w:t>
            </w:r>
          </w:p>
        </w:tc>
        <w:tc>
          <w:tcPr>
            <w:tcW w:w="1240" w:type="dxa"/>
            <w:tcBorders>
              <w:top w:val="single" w:sz="24" w:space="0" w:color="4F81BD" w:themeColor="accent1"/>
              <w:left w:val="single" w:sz="4" w:space="0" w:color="auto"/>
              <w:bottom w:val="single" w:sz="4" w:space="0" w:color="auto"/>
              <w:right w:val="single" w:sz="4" w:space="0" w:color="auto"/>
            </w:tcBorders>
            <w:shd w:val="clear" w:color="auto" w:fill="FFFFFF" w:themeFill="background1"/>
          </w:tcPr>
          <w:p w:rsidR="00F537FC" w:rsidRPr="00F537FC" w:rsidRDefault="00482301" w:rsidP="00971E25">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w:t>
            </w:r>
          </w:p>
        </w:tc>
        <w:tc>
          <w:tcPr>
            <w:tcW w:w="1239" w:type="dxa"/>
            <w:tcBorders>
              <w:top w:val="single" w:sz="24" w:space="0" w:color="4F81BD" w:themeColor="accent1"/>
              <w:left w:val="single" w:sz="4" w:space="0" w:color="auto"/>
              <w:bottom w:val="single" w:sz="4" w:space="0" w:color="auto"/>
              <w:right w:val="single" w:sz="4" w:space="0" w:color="auto"/>
            </w:tcBorders>
            <w:shd w:val="clear" w:color="auto" w:fill="FFFFFF" w:themeFill="background1"/>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295" w:type="dxa"/>
            <w:tcBorders>
              <w:top w:val="single" w:sz="24" w:space="0" w:color="4F81BD" w:themeColor="accent1"/>
              <w:left w:val="single" w:sz="4" w:space="0" w:color="auto"/>
              <w:bottom w:val="single" w:sz="4" w:space="0" w:color="auto"/>
              <w:right w:val="single" w:sz="4" w:space="0" w:color="auto"/>
            </w:tcBorders>
            <w:shd w:val="clear" w:color="auto" w:fill="FFFFFF" w:themeFill="background1"/>
          </w:tcPr>
          <w:p w:rsidR="00F537FC" w:rsidRPr="00F537FC" w:rsidRDefault="00482301"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w:t>
            </w:r>
          </w:p>
        </w:tc>
        <w:tc>
          <w:tcPr>
            <w:tcW w:w="1295" w:type="dxa"/>
            <w:tcBorders>
              <w:top w:val="single" w:sz="24" w:space="0" w:color="4F81BD" w:themeColor="accent1"/>
              <w:left w:val="single" w:sz="4" w:space="0" w:color="auto"/>
              <w:bottom w:val="single" w:sz="4" w:space="0" w:color="auto"/>
              <w:right w:val="single" w:sz="4" w:space="0" w:color="auto"/>
            </w:tcBorders>
            <w:shd w:val="clear" w:color="auto" w:fill="FFFFFF" w:themeFill="background1"/>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296" w:type="dxa"/>
            <w:tcBorders>
              <w:top w:val="single" w:sz="24" w:space="0" w:color="4F81BD" w:themeColor="accent1"/>
              <w:left w:val="single" w:sz="4" w:space="0" w:color="auto"/>
              <w:bottom w:val="single" w:sz="4" w:space="0" w:color="auto"/>
              <w:right w:val="single" w:sz="4" w:space="0" w:color="auto"/>
            </w:tcBorders>
            <w:shd w:val="clear" w:color="auto" w:fill="FFFFFF" w:themeFill="background1"/>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175" w:type="dxa"/>
            <w:tcBorders>
              <w:top w:val="single" w:sz="24" w:space="0" w:color="4F81BD" w:themeColor="accent1"/>
              <w:left w:val="single" w:sz="4" w:space="0" w:color="auto"/>
              <w:bottom w:val="single" w:sz="4" w:space="0" w:color="auto"/>
              <w:right w:val="nil"/>
            </w:tcBorders>
            <w:shd w:val="clear" w:color="auto" w:fill="FFFFFF" w:themeFill="background1"/>
          </w:tcPr>
          <w:p w:rsidR="00F537FC" w:rsidRPr="00F537FC" w:rsidRDefault="00F537FC" w:rsidP="00233E54">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F537FC" w:rsidTr="00482301">
        <w:tc>
          <w:tcPr>
            <w:cnfStyle w:val="001000000000" w:firstRow="0" w:lastRow="0" w:firstColumn="1" w:lastColumn="0" w:oddVBand="0" w:evenVBand="0" w:oddHBand="0" w:evenHBand="0" w:firstRowFirstColumn="0" w:firstRowLastColumn="0" w:lastRowFirstColumn="0" w:lastRowLastColumn="0"/>
            <w:tcW w:w="1486" w:type="dxa"/>
            <w:tcBorders>
              <w:top w:val="single" w:sz="4" w:space="0" w:color="auto"/>
              <w:bottom w:val="single" w:sz="4" w:space="0" w:color="auto"/>
              <w:right w:val="single" w:sz="4" w:space="0" w:color="auto"/>
            </w:tcBorders>
          </w:tcPr>
          <w:p w:rsidR="00F537FC" w:rsidRPr="00F537FC" w:rsidRDefault="00F537FC" w:rsidP="00B4540D">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0"/>
              </w:rPr>
            </w:pPr>
            <w:r w:rsidRPr="00F537FC">
              <w:rPr>
                <w:rFonts w:ascii="Arial" w:hAnsi="Arial" w:cs="Arial"/>
                <w:sz w:val="20"/>
              </w:rPr>
              <w:t>Local Authorities</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F537FC" w:rsidRPr="00F537FC" w:rsidRDefault="00F537FC" w:rsidP="00233E54">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rsidR="00F537FC" w:rsidRPr="00F537FC" w:rsidRDefault="00F537FC" w:rsidP="00233E54">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rsidR="00F537FC" w:rsidRPr="00F537FC" w:rsidRDefault="00482301"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2</w:t>
            </w:r>
          </w:p>
        </w:tc>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175" w:type="dxa"/>
            <w:tcBorders>
              <w:top w:val="single" w:sz="4" w:space="0" w:color="auto"/>
              <w:left w:val="single" w:sz="4" w:space="0" w:color="auto"/>
              <w:bottom w:val="single" w:sz="4" w:space="0" w:color="auto"/>
              <w:right w:val="nil"/>
            </w:tcBorders>
            <w:shd w:val="clear" w:color="auto" w:fill="FFFFFF" w:themeFill="background1"/>
          </w:tcPr>
          <w:p w:rsidR="00F537FC" w:rsidRPr="00F537FC" w:rsidRDefault="001C6441"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w:t>
            </w:r>
          </w:p>
        </w:tc>
      </w:tr>
      <w:tr w:rsidR="00E960F2" w:rsidTr="00482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6" w:type="dxa"/>
            <w:tcBorders>
              <w:top w:val="single" w:sz="4" w:space="0" w:color="auto"/>
              <w:bottom w:val="single" w:sz="4" w:space="0" w:color="auto"/>
              <w:right w:val="single" w:sz="4" w:space="0" w:color="auto"/>
            </w:tcBorders>
          </w:tcPr>
          <w:p w:rsidR="00F537FC" w:rsidRPr="00F537FC" w:rsidRDefault="00F537FC" w:rsidP="00B4540D">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0"/>
              </w:rPr>
            </w:pPr>
            <w:r w:rsidRPr="00F537FC">
              <w:rPr>
                <w:rFonts w:ascii="Arial" w:hAnsi="Arial" w:cs="Arial"/>
                <w:sz w:val="20"/>
              </w:rPr>
              <w:t>Private businesses</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F537FC" w:rsidRPr="00F537FC" w:rsidRDefault="00482301"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tcPr>
          <w:p w:rsidR="00F537FC" w:rsidRPr="00F537FC" w:rsidRDefault="00482301" w:rsidP="00971E25">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3</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rsidR="00F537FC" w:rsidRPr="00F537FC" w:rsidRDefault="00482301"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296" w:type="dxa"/>
            <w:tcBorders>
              <w:top w:val="single" w:sz="4" w:space="0" w:color="auto"/>
              <w:left w:val="single" w:sz="4" w:space="0" w:color="auto"/>
              <w:bottom w:val="single" w:sz="4" w:space="0" w:color="auto"/>
              <w:right w:val="single" w:sz="4" w:space="0" w:color="auto"/>
            </w:tcBorders>
            <w:shd w:val="clear" w:color="auto" w:fill="FFFFFF" w:themeFill="background1"/>
          </w:tcPr>
          <w:p w:rsidR="00F537FC" w:rsidRPr="00F537FC" w:rsidRDefault="00482301"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w:t>
            </w:r>
          </w:p>
        </w:tc>
        <w:tc>
          <w:tcPr>
            <w:tcW w:w="1175" w:type="dxa"/>
            <w:tcBorders>
              <w:top w:val="single" w:sz="4" w:space="0" w:color="auto"/>
              <w:left w:val="single" w:sz="4" w:space="0" w:color="auto"/>
              <w:bottom w:val="single" w:sz="4" w:space="0" w:color="auto"/>
              <w:right w:val="nil"/>
            </w:tcBorders>
            <w:shd w:val="clear" w:color="auto" w:fill="FFFFFF" w:themeFill="background1"/>
          </w:tcPr>
          <w:p w:rsidR="00F537FC" w:rsidRPr="00F537FC" w:rsidRDefault="00F537FC" w:rsidP="00E960F2">
            <w:pPr>
              <w:tabs>
                <w:tab w:val="clear" w:pos="720"/>
                <w:tab w:val="clear" w:pos="1440"/>
                <w:tab w:val="clear" w:pos="2160"/>
                <w:tab w:val="clear" w:pos="2880"/>
                <w:tab w:val="clear" w:pos="4680"/>
                <w:tab w:val="clear" w:pos="5400"/>
                <w:tab w:val="clear" w:pos="900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bl>
    <w:p w:rsidR="008F0356" w:rsidRDefault="008F0356"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6"/>
          <w:szCs w:val="26"/>
        </w:rPr>
      </w:pPr>
    </w:p>
    <w:p w:rsidR="004A6B72" w:rsidRDefault="004A6B72"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6"/>
          <w:szCs w:val="26"/>
        </w:rPr>
      </w:pPr>
    </w:p>
    <w:p w:rsidR="004A6B72" w:rsidRDefault="004A6B72">
      <w:pPr>
        <w:tabs>
          <w:tab w:val="clear" w:pos="720"/>
          <w:tab w:val="clear" w:pos="1440"/>
          <w:tab w:val="clear" w:pos="2160"/>
          <w:tab w:val="clear" w:pos="2880"/>
          <w:tab w:val="clear" w:pos="4680"/>
          <w:tab w:val="clear" w:pos="5400"/>
          <w:tab w:val="clear" w:pos="9000"/>
        </w:tabs>
        <w:jc w:val="left"/>
        <w:rPr>
          <w:rFonts w:ascii="Arial" w:hAnsi="Arial" w:cs="Arial"/>
          <w:sz w:val="26"/>
          <w:szCs w:val="26"/>
        </w:rPr>
      </w:pPr>
      <w:r>
        <w:rPr>
          <w:rFonts w:ascii="Arial" w:hAnsi="Arial" w:cs="Arial"/>
          <w:sz w:val="26"/>
          <w:szCs w:val="26"/>
        </w:rPr>
        <w:br w:type="page"/>
      </w:r>
    </w:p>
    <w:p w:rsidR="004A6B72" w:rsidRPr="0013131F" w:rsidRDefault="004A6B72" w:rsidP="0013131F">
      <w:pPr>
        <w:pStyle w:val="Heading1"/>
        <w:jc w:val="right"/>
        <w:rPr>
          <w:rFonts w:asciiTheme="majorHAnsi" w:hAnsiTheme="majorHAnsi" w:cstheme="majorHAnsi"/>
          <w:b/>
          <w:color w:val="1F497D" w:themeColor="text2"/>
        </w:rPr>
      </w:pPr>
      <w:bookmarkStart w:id="13" w:name="_Toc503525812"/>
      <w:bookmarkStart w:id="14" w:name="_Toc532299852"/>
      <w:r w:rsidRPr="0013131F">
        <w:rPr>
          <w:rFonts w:asciiTheme="majorHAnsi" w:hAnsiTheme="majorHAnsi" w:cstheme="majorHAnsi"/>
          <w:b/>
          <w:color w:val="1F497D" w:themeColor="text2"/>
        </w:rPr>
        <w:lastRenderedPageBreak/>
        <w:t>Annex A</w:t>
      </w:r>
      <w:bookmarkEnd w:id="13"/>
      <w:bookmarkEnd w:id="14"/>
    </w:p>
    <w:p w:rsidR="004A6B72" w:rsidRPr="00471420" w:rsidRDefault="004A6B72"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b/>
          <w:szCs w:val="24"/>
        </w:rPr>
      </w:pPr>
    </w:p>
    <w:p w:rsidR="004A6B72" w:rsidRPr="00471420" w:rsidRDefault="00471420"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b/>
          <w:szCs w:val="24"/>
        </w:rPr>
      </w:pPr>
      <w:r w:rsidRPr="00471420">
        <w:rPr>
          <w:rFonts w:ascii="Arial" w:hAnsi="Arial" w:cs="Arial"/>
          <w:b/>
          <w:szCs w:val="24"/>
        </w:rPr>
        <w:t>O</w:t>
      </w:r>
      <w:r w:rsidR="004A6B72" w:rsidRPr="00471420">
        <w:rPr>
          <w:rFonts w:ascii="Arial" w:hAnsi="Arial" w:cs="Arial"/>
          <w:b/>
          <w:szCs w:val="24"/>
        </w:rPr>
        <w:t>rganisations</w:t>
      </w:r>
      <w:r w:rsidRPr="00471420">
        <w:rPr>
          <w:rFonts w:ascii="Arial" w:hAnsi="Arial" w:cs="Arial"/>
          <w:b/>
          <w:szCs w:val="24"/>
        </w:rPr>
        <w:t xml:space="preserve"> responding to the consultation</w:t>
      </w:r>
      <w:r w:rsidR="009401B7">
        <w:rPr>
          <w:rFonts w:ascii="Arial" w:hAnsi="Arial" w:cs="Arial"/>
          <w:b/>
          <w:szCs w:val="24"/>
        </w:rPr>
        <w:t>, some represented by more than one respondent</w:t>
      </w:r>
    </w:p>
    <w:p w:rsidR="004A6B72" w:rsidRPr="008D645B" w:rsidRDefault="004A6B72"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tbl>
      <w:tblPr>
        <w:tblStyle w:val="TableGrid"/>
        <w:tblW w:w="9229" w:type="dxa"/>
        <w:tblLook w:val="04A0" w:firstRow="1" w:lastRow="0" w:firstColumn="1" w:lastColumn="0" w:noHBand="0" w:noVBand="1"/>
      </w:tblPr>
      <w:tblGrid>
        <w:gridCol w:w="9229"/>
      </w:tblGrid>
      <w:tr w:rsidR="00C819C1" w:rsidRPr="00C819C1" w:rsidTr="00471420">
        <w:trPr>
          <w:trHeight w:val="300"/>
        </w:trPr>
        <w:tc>
          <w:tcPr>
            <w:tcW w:w="9229" w:type="dxa"/>
            <w:hideMark/>
          </w:tcPr>
          <w:p w:rsidR="00C819C1" w:rsidRPr="00C819C1" w:rsidRDefault="001C6441" w:rsidP="00C819C1">
            <w:pPr>
              <w:tabs>
                <w:tab w:val="clear" w:pos="720"/>
                <w:tab w:val="clear" w:pos="1440"/>
                <w:tab w:val="clear" w:pos="2160"/>
                <w:tab w:val="clear" w:pos="2880"/>
                <w:tab w:val="clear" w:pos="4680"/>
                <w:tab w:val="clear" w:pos="5400"/>
                <w:tab w:val="clear" w:pos="9000"/>
              </w:tabs>
              <w:jc w:val="left"/>
              <w:rPr>
                <w:rFonts w:ascii="Arial" w:hAnsi="Arial" w:cs="Arial"/>
                <w:color w:val="000000"/>
                <w:szCs w:val="24"/>
              </w:rPr>
            </w:pPr>
            <w:r>
              <w:rPr>
                <w:rFonts w:ascii="Arial" w:hAnsi="Arial" w:cs="Arial"/>
                <w:color w:val="000000"/>
                <w:szCs w:val="24"/>
              </w:rPr>
              <w:t>NFUS</w:t>
            </w:r>
          </w:p>
        </w:tc>
      </w:tr>
      <w:tr w:rsidR="00C819C1" w:rsidRPr="00C819C1" w:rsidTr="00471420">
        <w:trPr>
          <w:trHeight w:val="300"/>
        </w:trPr>
        <w:tc>
          <w:tcPr>
            <w:tcW w:w="9229" w:type="dxa"/>
            <w:hideMark/>
          </w:tcPr>
          <w:p w:rsidR="00C819C1" w:rsidRPr="00C819C1" w:rsidRDefault="001C6441" w:rsidP="00C819C1">
            <w:pPr>
              <w:tabs>
                <w:tab w:val="clear" w:pos="720"/>
                <w:tab w:val="clear" w:pos="1440"/>
                <w:tab w:val="clear" w:pos="2160"/>
                <w:tab w:val="clear" w:pos="2880"/>
                <w:tab w:val="clear" w:pos="4680"/>
                <w:tab w:val="clear" w:pos="5400"/>
                <w:tab w:val="clear" w:pos="9000"/>
              </w:tabs>
              <w:jc w:val="left"/>
              <w:rPr>
                <w:rFonts w:ascii="Arial" w:hAnsi="Arial" w:cs="Arial"/>
                <w:color w:val="000000"/>
                <w:szCs w:val="24"/>
              </w:rPr>
            </w:pPr>
            <w:r>
              <w:rPr>
                <w:rFonts w:ascii="Arial" w:hAnsi="Arial" w:cs="Arial"/>
                <w:color w:val="000000"/>
                <w:szCs w:val="24"/>
              </w:rPr>
              <w:t>Perth and Kinross council</w:t>
            </w:r>
          </w:p>
        </w:tc>
      </w:tr>
      <w:tr w:rsidR="00C819C1" w:rsidRPr="00C819C1" w:rsidTr="00471420">
        <w:trPr>
          <w:trHeight w:val="300"/>
        </w:trPr>
        <w:tc>
          <w:tcPr>
            <w:tcW w:w="9229" w:type="dxa"/>
            <w:hideMark/>
          </w:tcPr>
          <w:p w:rsidR="00C819C1" w:rsidRPr="00C819C1" w:rsidRDefault="001C6441" w:rsidP="00C819C1">
            <w:pPr>
              <w:tabs>
                <w:tab w:val="clear" w:pos="720"/>
                <w:tab w:val="clear" w:pos="1440"/>
                <w:tab w:val="clear" w:pos="2160"/>
                <w:tab w:val="clear" w:pos="2880"/>
                <w:tab w:val="clear" w:pos="4680"/>
                <w:tab w:val="clear" w:pos="5400"/>
                <w:tab w:val="clear" w:pos="9000"/>
              </w:tabs>
              <w:jc w:val="left"/>
              <w:rPr>
                <w:rFonts w:ascii="Arial" w:hAnsi="Arial" w:cs="Arial"/>
                <w:color w:val="000000"/>
                <w:szCs w:val="24"/>
              </w:rPr>
            </w:pPr>
            <w:r>
              <w:rPr>
                <w:rFonts w:ascii="Arial" w:hAnsi="Arial" w:cs="Arial"/>
                <w:color w:val="000000"/>
                <w:szCs w:val="24"/>
              </w:rPr>
              <w:t>Stirling council</w:t>
            </w:r>
          </w:p>
        </w:tc>
      </w:tr>
      <w:tr w:rsidR="00C819C1" w:rsidRPr="00C819C1" w:rsidTr="00471420">
        <w:trPr>
          <w:trHeight w:val="300"/>
        </w:trPr>
        <w:tc>
          <w:tcPr>
            <w:tcW w:w="9229" w:type="dxa"/>
            <w:hideMark/>
          </w:tcPr>
          <w:p w:rsidR="00C819C1" w:rsidRPr="00C819C1" w:rsidRDefault="001C6441" w:rsidP="00C819C1">
            <w:pPr>
              <w:tabs>
                <w:tab w:val="clear" w:pos="720"/>
                <w:tab w:val="clear" w:pos="1440"/>
                <w:tab w:val="clear" w:pos="2160"/>
                <w:tab w:val="clear" w:pos="2880"/>
                <w:tab w:val="clear" w:pos="4680"/>
                <w:tab w:val="clear" w:pos="5400"/>
                <w:tab w:val="clear" w:pos="9000"/>
              </w:tabs>
              <w:jc w:val="left"/>
              <w:rPr>
                <w:rFonts w:ascii="Arial" w:hAnsi="Arial" w:cs="Arial"/>
                <w:color w:val="000000"/>
                <w:szCs w:val="24"/>
              </w:rPr>
            </w:pPr>
            <w:r>
              <w:rPr>
                <w:rFonts w:ascii="Arial" w:hAnsi="Arial" w:cs="Arial"/>
                <w:color w:val="000000"/>
                <w:szCs w:val="24"/>
              </w:rPr>
              <w:t>Argyll and Bute council</w:t>
            </w:r>
          </w:p>
        </w:tc>
      </w:tr>
      <w:tr w:rsidR="00C819C1" w:rsidRPr="00C819C1" w:rsidTr="00471420">
        <w:trPr>
          <w:trHeight w:val="300"/>
        </w:trPr>
        <w:tc>
          <w:tcPr>
            <w:tcW w:w="9229" w:type="dxa"/>
            <w:hideMark/>
          </w:tcPr>
          <w:p w:rsidR="00C819C1" w:rsidRPr="00C819C1" w:rsidRDefault="001C6441" w:rsidP="00C819C1">
            <w:pPr>
              <w:tabs>
                <w:tab w:val="clear" w:pos="720"/>
                <w:tab w:val="clear" w:pos="1440"/>
                <w:tab w:val="clear" w:pos="2160"/>
                <w:tab w:val="clear" w:pos="2880"/>
                <w:tab w:val="clear" w:pos="4680"/>
                <w:tab w:val="clear" w:pos="5400"/>
                <w:tab w:val="clear" w:pos="9000"/>
              </w:tabs>
              <w:jc w:val="left"/>
              <w:rPr>
                <w:rFonts w:ascii="Arial" w:hAnsi="Arial" w:cs="Arial"/>
                <w:color w:val="000000"/>
                <w:szCs w:val="24"/>
              </w:rPr>
            </w:pPr>
            <w:r>
              <w:rPr>
                <w:rFonts w:ascii="Arial" w:hAnsi="Arial" w:cs="Arial"/>
                <w:color w:val="000000"/>
                <w:szCs w:val="24"/>
              </w:rPr>
              <w:t>Scottish land and estates</w:t>
            </w:r>
          </w:p>
        </w:tc>
      </w:tr>
      <w:tr w:rsidR="00C819C1" w:rsidRPr="00C819C1" w:rsidTr="00471420">
        <w:trPr>
          <w:trHeight w:val="300"/>
        </w:trPr>
        <w:tc>
          <w:tcPr>
            <w:tcW w:w="9229" w:type="dxa"/>
            <w:hideMark/>
          </w:tcPr>
          <w:p w:rsidR="00C819C1" w:rsidRPr="00C819C1" w:rsidRDefault="001C6441" w:rsidP="00C819C1">
            <w:pPr>
              <w:tabs>
                <w:tab w:val="clear" w:pos="720"/>
                <w:tab w:val="clear" w:pos="1440"/>
                <w:tab w:val="clear" w:pos="2160"/>
                <w:tab w:val="clear" w:pos="2880"/>
                <w:tab w:val="clear" w:pos="4680"/>
                <w:tab w:val="clear" w:pos="5400"/>
                <w:tab w:val="clear" w:pos="9000"/>
              </w:tabs>
              <w:jc w:val="left"/>
              <w:rPr>
                <w:rFonts w:ascii="Arial" w:hAnsi="Arial" w:cs="Arial"/>
                <w:color w:val="000000"/>
                <w:szCs w:val="24"/>
              </w:rPr>
            </w:pPr>
            <w:r>
              <w:rPr>
                <w:rFonts w:ascii="Arial" w:hAnsi="Arial" w:cs="Arial"/>
                <w:color w:val="000000"/>
                <w:szCs w:val="24"/>
              </w:rPr>
              <w:t>Food Standards Scotland</w:t>
            </w:r>
          </w:p>
        </w:tc>
      </w:tr>
    </w:tbl>
    <w:p w:rsidR="004A6B72" w:rsidRPr="008D645B" w:rsidRDefault="004A6B72"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p w:rsidR="004A6B72" w:rsidRPr="008D645B" w:rsidRDefault="004A6B72"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p w:rsidR="004A6B72" w:rsidRPr="008D645B" w:rsidRDefault="004A6B72"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p w:rsidR="004A6B72" w:rsidRPr="008D645B" w:rsidRDefault="004A6B72"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Cs w:val="24"/>
        </w:rPr>
      </w:pPr>
    </w:p>
    <w:p w:rsidR="004A6B72" w:rsidRDefault="004A6B72"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6"/>
          <w:szCs w:val="26"/>
        </w:rPr>
      </w:pPr>
    </w:p>
    <w:p w:rsidR="004A6B72" w:rsidRDefault="004A6B72"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6"/>
          <w:szCs w:val="26"/>
        </w:rPr>
      </w:pPr>
    </w:p>
    <w:p w:rsidR="004A6B72" w:rsidRPr="00F141A5" w:rsidRDefault="004A6B72" w:rsidP="00B13FF3">
      <w:pPr>
        <w:tabs>
          <w:tab w:val="clear" w:pos="720"/>
          <w:tab w:val="clear" w:pos="1440"/>
          <w:tab w:val="clear" w:pos="2160"/>
          <w:tab w:val="clear" w:pos="2880"/>
          <w:tab w:val="clear" w:pos="4680"/>
          <w:tab w:val="clear" w:pos="5400"/>
          <w:tab w:val="clear" w:pos="9000"/>
        </w:tabs>
        <w:autoSpaceDE w:val="0"/>
        <w:autoSpaceDN w:val="0"/>
        <w:adjustRightInd w:val="0"/>
        <w:jc w:val="left"/>
        <w:rPr>
          <w:rFonts w:ascii="Arial" w:hAnsi="Arial" w:cs="Arial"/>
          <w:sz w:val="26"/>
          <w:szCs w:val="26"/>
        </w:rPr>
      </w:pPr>
    </w:p>
    <w:sectPr w:rsidR="004A6B72" w:rsidRPr="00F141A5" w:rsidSect="00CE1BBA">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577" w:rsidRDefault="009F5577">
      <w:r>
        <w:separator/>
      </w:r>
    </w:p>
  </w:endnote>
  <w:endnote w:type="continuationSeparator" w:id="0">
    <w:p w:rsidR="009F5577" w:rsidRDefault="009F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738014"/>
      <w:docPartObj>
        <w:docPartGallery w:val="Page Numbers (Bottom of Page)"/>
        <w:docPartUnique/>
      </w:docPartObj>
    </w:sdtPr>
    <w:sdtEndPr>
      <w:rPr>
        <w:noProof/>
      </w:rPr>
    </w:sdtEndPr>
    <w:sdtContent>
      <w:p w:rsidR="00367FFA" w:rsidRDefault="00367FFA">
        <w:pPr>
          <w:pStyle w:val="Footer"/>
          <w:jc w:val="center"/>
        </w:pPr>
        <w:r w:rsidRPr="003A18D9">
          <w:rPr>
            <w:rFonts w:asciiTheme="minorHAnsi" w:hAnsiTheme="minorHAnsi" w:cstheme="minorHAnsi"/>
          </w:rPr>
          <w:fldChar w:fldCharType="begin"/>
        </w:r>
        <w:r w:rsidRPr="003A18D9">
          <w:rPr>
            <w:rFonts w:asciiTheme="minorHAnsi" w:hAnsiTheme="minorHAnsi" w:cstheme="minorHAnsi"/>
          </w:rPr>
          <w:instrText xml:space="preserve"> PAGE   \* MERGEFORMAT </w:instrText>
        </w:r>
        <w:r w:rsidRPr="003A18D9">
          <w:rPr>
            <w:rFonts w:asciiTheme="minorHAnsi" w:hAnsiTheme="minorHAnsi" w:cstheme="minorHAnsi"/>
          </w:rPr>
          <w:fldChar w:fldCharType="separate"/>
        </w:r>
        <w:r w:rsidR="00844144">
          <w:rPr>
            <w:rFonts w:asciiTheme="minorHAnsi" w:hAnsiTheme="minorHAnsi" w:cstheme="minorHAnsi"/>
            <w:noProof/>
          </w:rPr>
          <w:t>1</w:t>
        </w:r>
        <w:r w:rsidRPr="003A18D9">
          <w:rPr>
            <w:rFonts w:asciiTheme="minorHAnsi" w:hAnsiTheme="minorHAnsi" w:cstheme="minorHAnsi"/>
            <w:noProof/>
          </w:rPr>
          <w:fldChar w:fldCharType="end"/>
        </w:r>
      </w:p>
    </w:sdtContent>
  </w:sdt>
  <w:p w:rsidR="00367FFA" w:rsidRPr="0067486A" w:rsidRDefault="00367FFA"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577" w:rsidRDefault="009F5577">
      <w:r>
        <w:separator/>
      </w:r>
    </w:p>
  </w:footnote>
  <w:footnote w:type="continuationSeparator" w:id="0">
    <w:p w:rsidR="009F5577" w:rsidRDefault="009F5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FFA" w:rsidRPr="0067486A" w:rsidRDefault="00367FFA"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231F12AE"/>
    <w:multiLevelType w:val="hybridMultilevel"/>
    <w:tmpl w:val="B492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1A5"/>
    <w:rsid w:val="000010AF"/>
    <w:rsid w:val="00014B78"/>
    <w:rsid w:val="00053773"/>
    <w:rsid w:val="000800A3"/>
    <w:rsid w:val="00083F39"/>
    <w:rsid w:val="0009732A"/>
    <w:rsid w:val="000C24E1"/>
    <w:rsid w:val="000D0102"/>
    <w:rsid w:val="000D033E"/>
    <w:rsid w:val="00100021"/>
    <w:rsid w:val="0010269F"/>
    <w:rsid w:val="001267F7"/>
    <w:rsid w:val="0013131F"/>
    <w:rsid w:val="00141E38"/>
    <w:rsid w:val="00150C2C"/>
    <w:rsid w:val="00157346"/>
    <w:rsid w:val="0017067A"/>
    <w:rsid w:val="00170757"/>
    <w:rsid w:val="001747F7"/>
    <w:rsid w:val="001804BF"/>
    <w:rsid w:val="0019280D"/>
    <w:rsid w:val="00192DC7"/>
    <w:rsid w:val="0019553E"/>
    <w:rsid w:val="001B0DCA"/>
    <w:rsid w:val="001B193F"/>
    <w:rsid w:val="001C6441"/>
    <w:rsid w:val="00206200"/>
    <w:rsid w:val="00213727"/>
    <w:rsid w:val="00221687"/>
    <w:rsid w:val="00233E54"/>
    <w:rsid w:val="0023425E"/>
    <w:rsid w:val="00247048"/>
    <w:rsid w:val="002570ED"/>
    <w:rsid w:val="002A0CFB"/>
    <w:rsid w:val="002B0C56"/>
    <w:rsid w:val="002D2F65"/>
    <w:rsid w:val="002D67D3"/>
    <w:rsid w:val="002E1BDC"/>
    <w:rsid w:val="002E7675"/>
    <w:rsid w:val="002F3688"/>
    <w:rsid w:val="00337A20"/>
    <w:rsid w:val="00350FBB"/>
    <w:rsid w:val="00357AE2"/>
    <w:rsid w:val="00365EBA"/>
    <w:rsid w:val="00367FFA"/>
    <w:rsid w:val="003A18D9"/>
    <w:rsid w:val="003B3F3A"/>
    <w:rsid w:val="003C437E"/>
    <w:rsid w:val="003F2479"/>
    <w:rsid w:val="00411FC4"/>
    <w:rsid w:val="00415E61"/>
    <w:rsid w:val="00432765"/>
    <w:rsid w:val="00457FE9"/>
    <w:rsid w:val="00470DAD"/>
    <w:rsid w:val="00471420"/>
    <w:rsid w:val="00475326"/>
    <w:rsid w:val="00482301"/>
    <w:rsid w:val="004A6B72"/>
    <w:rsid w:val="004B4AB5"/>
    <w:rsid w:val="004C2E21"/>
    <w:rsid w:val="00511397"/>
    <w:rsid w:val="00521073"/>
    <w:rsid w:val="00526AFE"/>
    <w:rsid w:val="0053667C"/>
    <w:rsid w:val="00543345"/>
    <w:rsid w:val="00582BB4"/>
    <w:rsid w:val="00591321"/>
    <w:rsid w:val="005A2519"/>
    <w:rsid w:val="005C074D"/>
    <w:rsid w:val="005C548E"/>
    <w:rsid w:val="005E5CAF"/>
    <w:rsid w:val="005F507E"/>
    <w:rsid w:val="006306B2"/>
    <w:rsid w:val="00643282"/>
    <w:rsid w:val="0067486A"/>
    <w:rsid w:val="00680FDD"/>
    <w:rsid w:val="006B0310"/>
    <w:rsid w:val="006D26F7"/>
    <w:rsid w:val="006F4B57"/>
    <w:rsid w:val="007012D1"/>
    <w:rsid w:val="007033D3"/>
    <w:rsid w:val="0072668B"/>
    <w:rsid w:val="0076113E"/>
    <w:rsid w:val="0076534D"/>
    <w:rsid w:val="0079243D"/>
    <w:rsid w:val="007A2296"/>
    <w:rsid w:val="007C1D17"/>
    <w:rsid w:val="007D7C40"/>
    <w:rsid w:val="007E4F31"/>
    <w:rsid w:val="007E61B2"/>
    <w:rsid w:val="007E7596"/>
    <w:rsid w:val="00817727"/>
    <w:rsid w:val="00824999"/>
    <w:rsid w:val="00832EA2"/>
    <w:rsid w:val="00835A9A"/>
    <w:rsid w:val="00844144"/>
    <w:rsid w:val="008529CC"/>
    <w:rsid w:val="00853DB3"/>
    <w:rsid w:val="008700F3"/>
    <w:rsid w:val="008D4FE9"/>
    <w:rsid w:val="008D645B"/>
    <w:rsid w:val="008E170A"/>
    <w:rsid w:val="008F0356"/>
    <w:rsid w:val="008F6F26"/>
    <w:rsid w:val="00916D03"/>
    <w:rsid w:val="00921949"/>
    <w:rsid w:val="00925461"/>
    <w:rsid w:val="0092631B"/>
    <w:rsid w:val="009401B7"/>
    <w:rsid w:val="00942911"/>
    <w:rsid w:val="00952710"/>
    <w:rsid w:val="009615B2"/>
    <w:rsid w:val="009632DE"/>
    <w:rsid w:val="00971E25"/>
    <w:rsid w:val="00990C5A"/>
    <w:rsid w:val="009A30FF"/>
    <w:rsid w:val="009A4183"/>
    <w:rsid w:val="009B05F0"/>
    <w:rsid w:val="009B6034"/>
    <w:rsid w:val="009D6B55"/>
    <w:rsid w:val="009F1A21"/>
    <w:rsid w:val="009F5577"/>
    <w:rsid w:val="009F71B8"/>
    <w:rsid w:val="00A20118"/>
    <w:rsid w:val="00A51221"/>
    <w:rsid w:val="00A56EBA"/>
    <w:rsid w:val="00A738F6"/>
    <w:rsid w:val="00A752E5"/>
    <w:rsid w:val="00A874F1"/>
    <w:rsid w:val="00A90A53"/>
    <w:rsid w:val="00AA794A"/>
    <w:rsid w:val="00AB54FF"/>
    <w:rsid w:val="00AC310B"/>
    <w:rsid w:val="00AD7EBC"/>
    <w:rsid w:val="00AE01CB"/>
    <w:rsid w:val="00B13FF3"/>
    <w:rsid w:val="00B21DF9"/>
    <w:rsid w:val="00B4540D"/>
    <w:rsid w:val="00BA7401"/>
    <w:rsid w:val="00BC5FC5"/>
    <w:rsid w:val="00BF5B39"/>
    <w:rsid w:val="00C36F71"/>
    <w:rsid w:val="00C419CB"/>
    <w:rsid w:val="00C42109"/>
    <w:rsid w:val="00C46D93"/>
    <w:rsid w:val="00C54B64"/>
    <w:rsid w:val="00C819C1"/>
    <w:rsid w:val="00C840C7"/>
    <w:rsid w:val="00C86FBA"/>
    <w:rsid w:val="00C947D8"/>
    <w:rsid w:val="00CA437A"/>
    <w:rsid w:val="00CB2A5E"/>
    <w:rsid w:val="00CC33E4"/>
    <w:rsid w:val="00CE1BBA"/>
    <w:rsid w:val="00D13C76"/>
    <w:rsid w:val="00D21A9E"/>
    <w:rsid w:val="00D559DA"/>
    <w:rsid w:val="00DB256D"/>
    <w:rsid w:val="00DE00D9"/>
    <w:rsid w:val="00DE0726"/>
    <w:rsid w:val="00E3599D"/>
    <w:rsid w:val="00E36759"/>
    <w:rsid w:val="00E520C2"/>
    <w:rsid w:val="00E867E2"/>
    <w:rsid w:val="00E91FD4"/>
    <w:rsid w:val="00E960F2"/>
    <w:rsid w:val="00EA57EB"/>
    <w:rsid w:val="00F141A5"/>
    <w:rsid w:val="00F444AC"/>
    <w:rsid w:val="00F537FC"/>
    <w:rsid w:val="00F816BF"/>
    <w:rsid w:val="00F86B0A"/>
    <w:rsid w:val="00F87A1D"/>
    <w:rsid w:val="00FA7996"/>
    <w:rsid w:val="00FB749B"/>
    <w:rsid w:val="00FC1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0E1970-299C-40DA-B303-B5F1121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296"/>
    <w:pPr>
      <w:tabs>
        <w:tab w:val="left" w:pos="720"/>
        <w:tab w:val="left" w:pos="1440"/>
        <w:tab w:val="left" w:pos="2160"/>
        <w:tab w:val="left" w:pos="2880"/>
        <w:tab w:val="left" w:pos="4680"/>
        <w:tab w:val="left" w:pos="5400"/>
        <w:tab w:val="right" w:pos="9000"/>
      </w:tabs>
      <w:jc w:val="both"/>
    </w:pPr>
    <w:rPr>
      <w:sz w:val="24"/>
    </w:rPr>
  </w:style>
  <w:style w:type="paragraph" w:styleId="Heading1">
    <w:name w:val="heading 1"/>
    <w:aliases w:val="Outline1"/>
    <w:basedOn w:val="Normal"/>
    <w:next w:val="Normal"/>
    <w:qFormat/>
    <w:rsid w:val="007A2296"/>
    <w:pPr>
      <w:tabs>
        <w:tab w:val="clear" w:pos="4680"/>
        <w:tab w:val="clear" w:pos="5400"/>
        <w:tab w:val="clear" w:pos="9000"/>
        <w:tab w:val="right" w:pos="9907"/>
      </w:tabs>
      <w:jc w:val="left"/>
      <w:outlineLvl w:val="0"/>
    </w:pPr>
    <w:rPr>
      <w:kern w:val="24"/>
      <w:szCs w:val="24"/>
    </w:rPr>
  </w:style>
  <w:style w:type="paragraph" w:styleId="Heading2">
    <w:name w:val="heading 2"/>
    <w:aliases w:val="Outline2"/>
    <w:basedOn w:val="Normal"/>
    <w:next w:val="Normal"/>
    <w:qFormat/>
    <w:rsid w:val="007A2296"/>
    <w:pPr>
      <w:tabs>
        <w:tab w:val="clear" w:pos="4680"/>
        <w:tab w:val="clear" w:pos="5400"/>
        <w:tab w:val="clear" w:pos="9000"/>
        <w:tab w:val="right" w:pos="9907"/>
      </w:tabs>
      <w:jc w:val="left"/>
      <w:outlineLvl w:val="1"/>
    </w:pPr>
    <w:rPr>
      <w:color w:val="002664"/>
      <w:kern w:val="24"/>
      <w:sz w:val="28"/>
      <w:szCs w:val="24"/>
    </w:rPr>
  </w:style>
  <w:style w:type="paragraph" w:styleId="Heading3">
    <w:name w:val="heading 3"/>
    <w:aliases w:val="Outline3"/>
    <w:basedOn w:val="Normal"/>
    <w:next w:val="Normal"/>
    <w:qFormat/>
    <w:rsid w:val="007A2296"/>
    <w:pPr>
      <w:tabs>
        <w:tab w:val="clear" w:pos="720"/>
      </w:tabs>
      <w:spacing w:before="120"/>
      <w:outlineLvl w:val="2"/>
    </w:pPr>
    <w:rPr>
      <w:color w:val="002664"/>
      <w:kern w:val="24"/>
    </w:rPr>
  </w:style>
  <w:style w:type="paragraph" w:styleId="Heading4">
    <w:name w:val="heading 4"/>
    <w:basedOn w:val="Normal"/>
    <w:next w:val="Normal"/>
    <w:link w:val="Heading4Char"/>
    <w:qFormat/>
    <w:rsid w:val="007A2296"/>
    <w:pPr>
      <w:keepNext/>
      <w:spacing w:before="240" w:after="60"/>
      <w:outlineLvl w:val="3"/>
    </w:pPr>
    <w:rPr>
      <w:bCs/>
      <w:i/>
      <w:color w:val="00266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ind w:left="2160"/>
    </w:pPr>
    <w:rPr>
      <w:kern w:val="24"/>
    </w:rPr>
  </w:style>
  <w:style w:type="paragraph" w:customStyle="1" w:styleId="Outline7">
    <w:name w:val="Outline7"/>
    <w:basedOn w:val="Normal"/>
    <w:next w:val="Normal"/>
    <w:rsid w:val="00AB54FF"/>
    <w:pPr>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ing4Char">
    <w:name w:val="Heading 4 Char"/>
    <w:basedOn w:val="DefaultParagraphFont"/>
    <w:link w:val="Heading4"/>
    <w:rsid w:val="007A2296"/>
    <w:rPr>
      <w:bCs/>
      <w:i/>
      <w:color w:val="002664"/>
      <w:sz w:val="24"/>
      <w:szCs w:val="28"/>
      <w:lang w:eastAsia="en-US"/>
    </w:rPr>
  </w:style>
  <w:style w:type="paragraph" w:styleId="Title">
    <w:name w:val="Title"/>
    <w:basedOn w:val="Normal"/>
    <w:link w:val="TitleChar"/>
    <w:qFormat/>
    <w:rsid w:val="007A2296"/>
    <w:pPr>
      <w:spacing w:before="240" w:after="480"/>
      <w:contextualSpacing/>
      <w:jc w:val="center"/>
      <w:outlineLvl w:val="0"/>
    </w:pPr>
    <w:rPr>
      <w:rFonts w:cs="Arial"/>
      <w:b/>
      <w:bCs/>
      <w:color w:val="002664"/>
      <w:kern w:val="28"/>
      <w:sz w:val="28"/>
      <w:szCs w:val="32"/>
      <w:lang w:eastAsia="en-US"/>
    </w:rPr>
  </w:style>
  <w:style w:type="character" w:customStyle="1" w:styleId="TitleChar">
    <w:name w:val="Title Char"/>
    <w:basedOn w:val="DefaultParagraphFont"/>
    <w:link w:val="Title"/>
    <w:rsid w:val="007A2296"/>
    <w:rPr>
      <w:rFonts w:cs="Arial"/>
      <w:b/>
      <w:bCs/>
      <w:color w:val="002664"/>
      <w:kern w:val="28"/>
      <w:sz w:val="28"/>
      <w:szCs w:val="32"/>
      <w:lang w:eastAsia="en-US"/>
    </w:rPr>
  </w:style>
  <w:style w:type="character" w:styleId="Emphasis">
    <w:name w:val="Emphasis"/>
    <w:basedOn w:val="DefaultParagraphFont"/>
    <w:qFormat/>
    <w:rsid w:val="007A2296"/>
    <w:rPr>
      <w:i/>
      <w:iCs/>
    </w:rPr>
  </w:style>
  <w:style w:type="paragraph" w:customStyle="1" w:styleId="Style1">
    <w:name w:val="Style1"/>
    <w:basedOn w:val="Normal"/>
    <w:link w:val="Style1Char"/>
    <w:qFormat/>
    <w:rsid w:val="007A2296"/>
    <w:rPr>
      <w:rFonts w:ascii="Arial" w:hAnsi="Arial" w:cs="Arial"/>
    </w:rPr>
  </w:style>
  <w:style w:type="character" w:customStyle="1" w:styleId="Style1Char">
    <w:name w:val="Style1 Char"/>
    <w:basedOn w:val="DefaultParagraphFont"/>
    <w:link w:val="Style1"/>
    <w:rsid w:val="007A2296"/>
    <w:rPr>
      <w:rFonts w:ascii="Arial" w:hAnsi="Arial" w:cs="Arial"/>
      <w:sz w:val="24"/>
    </w:rPr>
  </w:style>
  <w:style w:type="table" w:styleId="TableGrid">
    <w:name w:val="Table Grid"/>
    <w:basedOn w:val="TableNormal"/>
    <w:uiPriority w:val="59"/>
    <w:rsid w:val="00926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0FBB"/>
    <w:rPr>
      <w:rFonts w:ascii="Tahoma" w:hAnsi="Tahoma" w:cs="Tahoma"/>
      <w:sz w:val="16"/>
      <w:szCs w:val="16"/>
    </w:rPr>
  </w:style>
  <w:style w:type="character" w:customStyle="1" w:styleId="BalloonTextChar">
    <w:name w:val="Balloon Text Char"/>
    <w:basedOn w:val="DefaultParagraphFont"/>
    <w:link w:val="BalloonText"/>
    <w:uiPriority w:val="99"/>
    <w:semiHidden/>
    <w:rsid w:val="00350FBB"/>
    <w:rPr>
      <w:rFonts w:ascii="Tahoma" w:hAnsi="Tahoma" w:cs="Tahoma"/>
      <w:sz w:val="16"/>
      <w:szCs w:val="16"/>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7012D1"/>
    <w:pPr>
      <w:spacing w:line="240" w:lineRule="atLeast"/>
      <w:ind w:left="720"/>
      <w:contextualSpacing/>
    </w:pPr>
    <w:rPr>
      <w:rFonts w:ascii="Arial" w:hAnsi="Arial"/>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link w:val="ListParagraph"/>
    <w:uiPriority w:val="34"/>
    <w:qFormat/>
    <w:locked/>
    <w:rsid w:val="007012D1"/>
    <w:rPr>
      <w:rFonts w:ascii="Arial" w:hAnsi="Arial"/>
      <w:sz w:val="24"/>
      <w:lang w:eastAsia="en-US"/>
    </w:rPr>
  </w:style>
  <w:style w:type="table" w:styleId="LightList-Accent1">
    <w:name w:val="Light List Accent 1"/>
    <w:basedOn w:val="TableNormal"/>
    <w:uiPriority w:val="61"/>
    <w:rsid w:val="00A874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1B0DCA"/>
    <w:rPr>
      <w:sz w:val="16"/>
      <w:szCs w:val="16"/>
    </w:rPr>
  </w:style>
  <w:style w:type="paragraph" w:styleId="CommentText">
    <w:name w:val="annotation text"/>
    <w:basedOn w:val="Normal"/>
    <w:link w:val="CommentTextChar"/>
    <w:uiPriority w:val="99"/>
    <w:semiHidden/>
    <w:unhideWhenUsed/>
    <w:rsid w:val="001B0DCA"/>
    <w:rPr>
      <w:sz w:val="20"/>
    </w:rPr>
  </w:style>
  <w:style w:type="character" w:customStyle="1" w:styleId="CommentTextChar">
    <w:name w:val="Comment Text Char"/>
    <w:basedOn w:val="DefaultParagraphFont"/>
    <w:link w:val="CommentText"/>
    <w:uiPriority w:val="99"/>
    <w:semiHidden/>
    <w:rsid w:val="001B0DCA"/>
  </w:style>
  <w:style w:type="paragraph" w:styleId="CommentSubject">
    <w:name w:val="annotation subject"/>
    <w:basedOn w:val="CommentText"/>
    <w:next w:val="CommentText"/>
    <w:link w:val="CommentSubjectChar"/>
    <w:uiPriority w:val="99"/>
    <w:semiHidden/>
    <w:unhideWhenUsed/>
    <w:rsid w:val="001B0DCA"/>
    <w:rPr>
      <w:b/>
      <w:bCs/>
    </w:rPr>
  </w:style>
  <w:style w:type="character" w:customStyle="1" w:styleId="CommentSubjectChar">
    <w:name w:val="Comment Subject Char"/>
    <w:basedOn w:val="CommentTextChar"/>
    <w:link w:val="CommentSubject"/>
    <w:uiPriority w:val="99"/>
    <w:semiHidden/>
    <w:rsid w:val="001B0DCA"/>
    <w:rPr>
      <w:b/>
      <w:bCs/>
    </w:rPr>
  </w:style>
  <w:style w:type="paragraph" w:styleId="NormalWeb">
    <w:name w:val="Normal (Web)"/>
    <w:basedOn w:val="Normal"/>
    <w:uiPriority w:val="99"/>
    <w:semiHidden/>
    <w:unhideWhenUsed/>
    <w:rsid w:val="005C074D"/>
    <w:pPr>
      <w:tabs>
        <w:tab w:val="clear" w:pos="720"/>
        <w:tab w:val="clear" w:pos="1440"/>
        <w:tab w:val="clear" w:pos="2160"/>
        <w:tab w:val="clear" w:pos="2880"/>
        <w:tab w:val="clear" w:pos="4680"/>
        <w:tab w:val="clear" w:pos="5400"/>
        <w:tab w:val="clear" w:pos="9000"/>
      </w:tabs>
      <w:spacing w:before="100" w:beforeAutospacing="1" w:after="100" w:afterAutospacing="1"/>
      <w:jc w:val="left"/>
    </w:pPr>
    <w:rPr>
      <w:szCs w:val="24"/>
    </w:rPr>
  </w:style>
  <w:style w:type="table" w:styleId="LightShading-Accent1">
    <w:name w:val="Light Shading Accent 1"/>
    <w:basedOn w:val="TableNormal"/>
    <w:uiPriority w:val="60"/>
    <w:rsid w:val="00E960F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E960F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E960F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FooterChar">
    <w:name w:val="Footer Char"/>
    <w:basedOn w:val="DefaultParagraphFont"/>
    <w:link w:val="Footer"/>
    <w:uiPriority w:val="99"/>
    <w:rsid w:val="003A18D9"/>
    <w:rPr>
      <w:sz w:val="24"/>
    </w:rPr>
  </w:style>
  <w:style w:type="character" w:styleId="Hyperlink">
    <w:name w:val="Hyperlink"/>
    <w:basedOn w:val="DefaultParagraphFont"/>
    <w:uiPriority w:val="99"/>
    <w:unhideWhenUsed/>
    <w:rsid w:val="00824999"/>
    <w:rPr>
      <w:color w:val="0000FF" w:themeColor="hyperlink"/>
      <w:u w:val="single"/>
    </w:rPr>
  </w:style>
  <w:style w:type="character" w:styleId="FollowedHyperlink">
    <w:name w:val="FollowedHyperlink"/>
    <w:basedOn w:val="DefaultParagraphFont"/>
    <w:uiPriority w:val="99"/>
    <w:semiHidden/>
    <w:unhideWhenUsed/>
    <w:rsid w:val="00824999"/>
    <w:rPr>
      <w:color w:val="800080" w:themeColor="followedHyperlink"/>
      <w:u w:val="single"/>
    </w:rPr>
  </w:style>
  <w:style w:type="paragraph" w:styleId="TOCHeading">
    <w:name w:val="TOC Heading"/>
    <w:basedOn w:val="Heading1"/>
    <w:next w:val="Normal"/>
    <w:uiPriority w:val="39"/>
    <w:unhideWhenUsed/>
    <w:qFormat/>
    <w:rsid w:val="00213727"/>
    <w:pPr>
      <w:keepNext/>
      <w:keepLines/>
      <w:tabs>
        <w:tab w:val="clear" w:pos="720"/>
        <w:tab w:val="clear" w:pos="1440"/>
        <w:tab w:val="clear" w:pos="2160"/>
        <w:tab w:val="clear" w:pos="2880"/>
        <w:tab w:val="clear" w:pos="9907"/>
      </w:tabs>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213727"/>
    <w:pPr>
      <w:tabs>
        <w:tab w:val="clear" w:pos="720"/>
        <w:tab w:val="clear" w:pos="1440"/>
        <w:tab w:val="clear" w:pos="2160"/>
        <w:tab w:val="clear" w:pos="2880"/>
        <w:tab w:val="clear" w:pos="4680"/>
        <w:tab w:val="clear" w:pos="5400"/>
        <w:tab w:val="clear" w:pos="9000"/>
      </w:tabs>
      <w:spacing w:before="360"/>
      <w:jc w:val="left"/>
    </w:pPr>
    <w:rPr>
      <w:rFonts w:asciiTheme="majorHAnsi" w:hAnsiTheme="majorHAnsi" w:cstheme="majorHAnsi"/>
      <w:b/>
      <w:bCs/>
      <w:caps/>
      <w:szCs w:val="24"/>
    </w:rPr>
  </w:style>
  <w:style w:type="paragraph" w:styleId="TOC2">
    <w:name w:val="toc 2"/>
    <w:basedOn w:val="Normal"/>
    <w:next w:val="Normal"/>
    <w:autoRedefine/>
    <w:uiPriority w:val="39"/>
    <w:unhideWhenUsed/>
    <w:qFormat/>
    <w:rsid w:val="00213727"/>
    <w:pPr>
      <w:tabs>
        <w:tab w:val="clear" w:pos="720"/>
        <w:tab w:val="clear" w:pos="1440"/>
        <w:tab w:val="clear" w:pos="2160"/>
        <w:tab w:val="clear" w:pos="2880"/>
        <w:tab w:val="clear" w:pos="4680"/>
        <w:tab w:val="clear" w:pos="5400"/>
        <w:tab w:val="clear" w:pos="9000"/>
      </w:tabs>
      <w:spacing w:before="240"/>
      <w:jc w:val="left"/>
    </w:pPr>
    <w:rPr>
      <w:rFonts w:asciiTheme="minorHAnsi" w:hAnsiTheme="minorHAnsi" w:cstheme="minorHAnsi"/>
      <w:b/>
      <w:bCs/>
      <w:sz w:val="20"/>
    </w:rPr>
  </w:style>
  <w:style w:type="paragraph" w:styleId="TOC3">
    <w:name w:val="toc 3"/>
    <w:basedOn w:val="Normal"/>
    <w:next w:val="Normal"/>
    <w:autoRedefine/>
    <w:uiPriority w:val="39"/>
    <w:unhideWhenUsed/>
    <w:qFormat/>
    <w:rsid w:val="00213727"/>
    <w:pPr>
      <w:tabs>
        <w:tab w:val="clear" w:pos="720"/>
        <w:tab w:val="clear" w:pos="1440"/>
        <w:tab w:val="clear" w:pos="2160"/>
        <w:tab w:val="clear" w:pos="2880"/>
        <w:tab w:val="clear" w:pos="4680"/>
        <w:tab w:val="clear" w:pos="5400"/>
        <w:tab w:val="clear" w:pos="9000"/>
      </w:tabs>
      <w:ind w:left="240"/>
      <w:jc w:val="left"/>
    </w:pPr>
    <w:rPr>
      <w:rFonts w:asciiTheme="minorHAnsi" w:hAnsiTheme="minorHAnsi" w:cstheme="minorHAnsi"/>
      <w:sz w:val="20"/>
    </w:rPr>
  </w:style>
  <w:style w:type="paragraph" w:styleId="TOC4">
    <w:name w:val="toc 4"/>
    <w:basedOn w:val="Normal"/>
    <w:next w:val="Normal"/>
    <w:autoRedefine/>
    <w:uiPriority w:val="39"/>
    <w:unhideWhenUsed/>
    <w:rsid w:val="00213727"/>
    <w:pPr>
      <w:tabs>
        <w:tab w:val="clear" w:pos="720"/>
        <w:tab w:val="clear" w:pos="1440"/>
        <w:tab w:val="clear" w:pos="2160"/>
        <w:tab w:val="clear" w:pos="2880"/>
        <w:tab w:val="clear" w:pos="4680"/>
        <w:tab w:val="clear" w:pos="5400"/>
        <w:tab w:val="clear" w:pos="9000"/>
      </w:tabs>
      <w:ind w:left="480"/>
      <w:jc w:val="left"/>
    </w:pPr>
    <w:rPr>
      <w:rFonts w:asciiTheme="minorHAnsi" w:hAnsiTheme="minorHAnsi" w:cstheme="minorHAnsi"/>
      <w:sz w:val="20"/>
    </w:rPr>
  </w:style>
  <w:style w:type="paragraph" w:styleId="TOC5">
    <w:name w:val="toc 5"/>
    <w:basedOn w:val="Normal"/>
    <w:next w:val="Normal"/>
    <w:autoRedefine/>
    <w:uiPriority w:val="39"/>
    <w:unhideWhenUsed/>
    <w:rsid w:val="00213727"/>
    <w:pPr>
      <w:tabs>
        <w:tab w:val="clear" w:pos="720"/>
        <w:tab w:val="clear" w:pos="1440"/>
        <w:tab w:val="clear" w:pos="2160"/>
        <w:tab w:val="clear" w:pos="2880"/>
        <w:tab w:val="clear" w:pos="4680"/>
        <w:tab w:val="clear" w:pos="5400"/>
        <w:tab w:val="clear" w:pos="9000"/>
      </w:tabs>
      <w:ind w:left="720"/>
      <w:jc w:val="left"/>
    </w:pPr>
    <w:rPr>
      <w:rFonts w:asciiTheme="minorHAnsi" w:hAnsiTheme="minorHAnsi" w:cstheme="minorHAnsi"/>
      <w:sz w:val="20"/>
    </w:rPr>
  </w:style>
  <w:style w:type="paragraph" w:styleId="TOC6">
    <w:name w:val="toc 6"/>
    <w:basedOn w:val="Normal"/>
    <w:next w:val="Normal"/>
    <w:autoRedefine/>
    <w:uiPriority w:val="39"/>
    <w:unhideWhenUsed/>
    <w:rsid w:val="00213727"/>
    <w:pPr>
      <w:tabs>
        <w:tab w:val="clear" w:pos="720"/>
        <w:tab w:val="clear" w:pos="1440"/>
        <w:tab w:val="clear" w:pos="2160"/>
        <w:tab w:val="clear" w:pos="2880"/>
        <w:tab w:val="clear" w:pos="4680"/>
        <w:tab w:val="clear" w:pos="5400"/>
        <w:tab w:val="clear" w:pos="9000"/>
      </w:tabs>
      <w:ind w:left="960"/>
      <w:jc w:val="left"/>
    </w:pPr>
    <w:rPr>
      <w:rFonts w:asciiTheme="minorHAnsi" w:hAnsiTheme="minorHAnsi" w:cstheme="minorHAnsi"/>
      <w:sz w:val="20"/>
    </w:rPr>
  </w:style>
  <w:style w:type="paragraph" w:styleId="TOC7">
    <w:name w:val="toc 7"/>
    <w:basedOn w:val="Normal"/>
    <w:next w:val="Normal"/>
    <w:autoRedefine/>
    <w:uiPriority w:val="39"/>
    <w:unhideWhenUsed/>
    <w:rsid w:val="00213727"/>
    <w:pPr>
      <w:tabs>
        <w:tab w:val="clear" w:pos="720"/>
        <w:tab w:val="clear" w:pos="1440"/>
        <w:tab w:val="clear" w:pos="2160"/>
        <w:tab w:val="clear" w:pos="2880"/>
        <w:tab w:val="clear" w:pos="4680"/>
        <w:tab w:val="clear" w:pos="5400"/>
        <w:tab w:val="clear" w:pos="9000"/>
      </w:tabs>
      <w:ind w:left="1200"/>
      <w:jc w:val="left"/>
    </w:pPr>
    <w:rPr>
      <w:rFonts w:asciiTheme="minorHAnsi" w:hAnsiTheme="minorHAnsi" w:cstheme="minorHAnsi"/>
      <w:sz w:val="20"/>
    </w:rPr>
  </w:style>
  <w:style w:type="paragraph" w:styleId="TOC8">
    <w:name w:val="toc 8"/>
    <w:basedOn w:val="Normal"/>
    <w:next w:val="Normal"/>
    <w:autoRedefine/>
    <w:uiPriority w:val="39"/>
    <w:unhideWhenUsed/>
    <w:rsid w:val="00213727"/>
    <w:pPr>
      <w:tabs>
        <w:tab w:val="clear" w:pos="720"/>
        <w:tab w:val="clear" w:pos="1440"/>
        <w:tab w:val="clear" w:pos="2160"/>
        <w:tab w:val="clear" w:pos="2880"/>
        <w:tab w:val="clear" w:pos="4680"/>
        <w:tab w:val="clear" w:pos="5400"/>
        <w:tab w:val="clear" w:pos="9000"/>
      </w:tabs>
      <w:ind w:left="1440"/>
      <w:jc w:val="left"/>
    </w:pPr>
    <w:rPr>
      <w:rFonts w:asciiTheme="minorHAnsi" w:hAnsiTheme="minorHAnsi" w:cstheme="minorHAnsi"/>
      <w:sz w:val="20"/>
    </w:rPr>
  </w:style>
  <w:style w:type="paragraph" w:styleId="TOC9">
    <w:name w:val="toc 9"/>
    <w:basedOn w:val="Normal"/>
    <w:next w:val="Normal"/>
    <w:autoRedefine/>
    <w:uiPriority w:val="39"/>
    <w:unhideWhenUsed/>
    <w:rsid w:val="00213727"/>
    <w:pPr>
      <w:tabs>
        <w:tab w:val="clear" w:pos="720"/>
        <w:tab w:val="clear" w:pos="1440"/>
        <w:tab w:val="clear" w:pos="2160"/>
        <w:tab w:val="clear" w:pos="2880"/>
        <w:tab w:val="clear" w:pos="4680"/>
        <w:tab w:val="clear" w:pos="5400"/>
        <w:tab w:val="clear" w:pos="9000"/>
      </w:tabs>
      <w:ind w:left="1680"/>
      <w:jc w:val="left"/>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0936">
      <w:bodyDiv w:val="1"/>
      <w:marLeft w:val="0"/>
      <w:marRight w:val="0"/>
      <w:marTop w:val="0"/>
      <w:marBottom w:val="0"/>
      <w:divBdr>
        <w:top w:val="none" w:sz="0" w:space="0" w:color="auto"/>
        <w:left w:val="none" w:sz="0" w:space="0" w:color="auto"/>
        <w:bottom w:val="none" w:sz="0" w:space="0" w:color="auto"/>
        <w:right w:val="none" w:sz="0" w:space="0" w:color="auto"/>
      </w:divBdr>
    </w:div>
    <w:div w:id="853418971">
      <w:bodyDiv w:val="1"/>
      <w:marLeft w:val="0"/>
      <w:marRight w:val="0"/>
      <w:marTop w:val="0"/>
      <w:marBottom w:val="0"/>
      <w:divBdr>
        <w:top w:val="none" w:sz="0" w:space="0" w:color="auto"/>
        <w:left w:val="none" w:sz="0" w:space="0" w:color="auto"/>
        <w:bottom w:val="none" w:sz="0" w:space="0" w:color="auto"/>
        <w:right w:val="none" w:sz="0" w:space="0" w:color="auto"/>
      </w:divBdr>
    </w:div>
    <w:div w:id="209420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gov.scot/Resource/Doc/278281/011627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t>Figure 2: </a:t>
            </a:r>
            <a:r>
              <a:rPr lang="en-US" sz="1200" b="0" i="0" u="none" strike="noStrike" baseline="0">
                <a:effectLst/>
              </a:rPr>
              <a:t>Do you agree that TSE brain stem sampling costs should be transferred to industry?</a:t>
            </a:r>
            <a:endParaRPr lang="en-GB"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08719341116843"/>
          <c:y val="0.24976851851851853"/>
          <c:w val="0.81186369807222369"/>
          <c:h val="0.59653579760863229"/>
        </c:manualLayout>
      </c:layout>
      <c:barChart>
        <c:barDir val="bar"/>
        <c:grouping val="clustered"/>
        <c:varyColors val="0"/>
        <c:ser>
          <c:idx val="0"/>
          <c:order val="0"/>
          <c:spPr>
            <a:solidFill>
              <a:schemeClr val="accent1"/>
            </a:solidFill>
            <a:ln>
              <a:noFill/>
            </a:ln>
            <a:effectLst/>
          </c:spPr>
          <c:invertIfNegative val="0"/>
          <c:cat>
            <c:strRef>
              <c:f>Overview!$B$1:$E$1</c:f>
              <c:strCache>
                <c:ptCount val="4"/>
                <c:pt idx="0">
                  <c:v>Yes</c:v>
                </c:pt>
                <c:pt idx="1">
                  <c:v>No</c:v>
                </c:pt>
                <c:pt idx="2">
                  <c:v>Don't know</c:v>
                </c:pt>
                <c:pt idx="3">
                  <c:v>Not answered</c:v>
                </c:pt>
              </c:strCache>
            </c:strRef>
          </c:cat>
          <c:val>
            <c:numRef>
              <c:f>Overview!$B$2:$E$2</c:f>
              <c:numCache>
                <c:formatCode>General</c:formatCode>
                <c:ptCount val="4"/>
                <c:pt idx="0">
                  <c:v>2</c:v>
                </c:pt>
                <c:pt idx="1">
                  <c:v>11</c:v>
                </c:pt>
                <c:pt idx="2">
                  <c:v>1</c:v>
                </c:pt>
                <c:pt idx="3">
                  <c:v>0</c:v>
                </c:pt>
              </c:numCache>
            </c:numRef>
          </c:val>
          <c:extLst>
            <c:ext xmlns:c16="http://schemas.microsoft.com/office/drawing/2014/chart" uri="{C3380CC4-5D6E-409C-BE32-E72D297353CC}">
              <c16:uniqueId val="{00000000-A78F-4695-8A79-2DAFF70D29CE}"/>
            </c:ext>
          </c:extLst>
        </c:ser>
        <c:dLbls>
          <c:showLegendKey val="0"/>
          <c:showVal val="0"/>
          <c:showCatName val="0"/>
          <c:showSerName val="0"/>
          <c:showPercent val="0"/>
          <c:showBubbleSize val="0"/>
        </c:dLbls>
        <c:gapWidth val="182"/>
        <c:axId val="400502008"/>
        <c:axId val="400498400"/>
      </c:barChart>
      <c:catAx>
        <c:axId val="400502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498400"/>
        <c:crosses val="autoZero"/>
        <c:auto val="1"/>
        <c:lblAlgn val="ctr"/>
        <c:lblOffset val="100"/>
        <c:noMultiLvlLbl val="0"/>
      </c:catAx>
      <c:valAx>
        <c:axId val="400498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502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6C81E-B1A2-420C-B4D2-EBB3BA8FA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1434</Words>
  <Characters>8407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u204214</dc:creator>
  <cp:lastModifiedBy>Mcdonald S (Samuel)</cp:lastModifiedBy>
  <cp:revision>2</cp:revision>
  <cp:lastPrinted>2018-01-12T09:04:00Z</cp:lastPrinted>
  <dcterms:created xsi:type="dcterms:W3CDTF">2019-02-18T13:29:00Z</dcterms:created>
  <dcterms:modified xsi:type="dcterms:W3CDTF">2019-02-18T13:29:00Z</dcterms:modified>
</cp:coreProperties>
</file>