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0224C" w14:textId="59F125E2" w:rsidR="0043022E" w:rsidRDefault="00B55B4C" w:rsidP="0043022E">
      <w:pPr>
        <w:jc w:val="left"/>
        <w:rPr>
          <w:rFonts w:cs="Arial"/>
          <w:b/>
          <w:szCs w:val="24"/>
        </w:rPr>
      </w:pPr>
      <w:r>
        <w:rPr>
          <w:rFonts w:cs="Arial"/>
          <w:b/>
          <w:szCs w:val="24"/>
        </w:rPr>
        <w:t>Consultation on</w:t>
      </w:r>
      <w:r w:rsidR="0043022E">
        <w:rPr>
          <w:rFonts w:cs="Arial"/>
          <w:b/>
          <w:szCs w:val="24"/>
        </w:rPr>
        <w:t xml:space="preserve"> </w:t>
      </w:r>
      <w:r w:rsidR="00226F25">
        <w:rPr>
          <w:rFonts w:cs="Arial"/>
          <w:b/>
          <w:szCs w:val="24"/>
        </w:rPr>
        <w:t xml:space="preserve">the </w:t>
      </w:r>
      <w:r w:rsidR="00280184" w:rsidRPr="00280184">
        <w:rPr>
          <w:rFonts w:cs="Arial"/>
          <w:b/>
          <w:szCs w:val="24"/>
          <w:lang w:eastAsia="en-GB"/>
        </w:rPr>
        <w:t xml:space="preserve">United Nations Convention on the Rights of the Child (Incorporation) (Scotland) Act </w:t>
      </w:r>
      <w:r w:rsidR="00473174" w:rsidRPr="00280184">
        <w:rPr>
          <w:rFonts w:cs="Arial"/>
          <w:b/>
          <w:szCs w:val="24"/>
          <w:lang w:eastAsia="en-GB"/>
        </w:rPr>
        <w:t>202</w:t>
      </w:r>
      <w:r w:rsidR="00473174">
        <w:rPr>
          <w:rFonts w:cs="Arial"/>
          <w:b/>
          <w:szCs w:val="24"/>
          <w:lang w:eastAsia="en-GB"/>
        </w:rPr>
        <w:t>4</w:t>
      </w:r>
      <w:r w:rsidR="00AF6870">
        <w:rPr>
          <w:rFonts w:cs="Arial"/>
          <w:b/>
          <w:szCs w:val="24"/>
          <w:lang w:eastAsia="en-GB"/>
        </w:rPr>
        <w:t xml:space="preserve">: </w:t>
      </w:r>
      <w:r w:rsidR="008C18AD">
        <w:rPr>
          <w:rFonts w:cs="Arial"/>
          <w:b/>
          <w:szCs w:val="24"/>
          <w:lang w:eastAsia="en-GB"/>
        </w:rPr>
        <w:t>Statutory Guidance</w:t>
      </w:r>
      <w:r w:rsidR="00AF6870">
        <w:rPr>
          <w:rFonts w:cs="Arial"/>
          <w:b/>
          <w:szCs w:val="24"/>
          <w:lang w:eastAsia="en-GB"/>
        </w:rPr>
        <w:t xml:space="preserve"> on Part 2 and 3</w:t>
      </w:r>
      <w:r w:rsidR="00690FCF">
        <w:rPr>
          <w:rFonts w:cs="Arial"/>
          <w:b/>
          <w:szCs w:val="24"/>
          <w:lang w:eastAsia="en-GB"/>
        </w:rPr>
        <w:t xml:space="preserve"> (section 18)</w:t>
      </w:r>
    </w:p>
    <w:p w14:paraId="67E0670B" w14:textId="77777777" w:rsidR="003163ED" w:rsidRDefault="003163ED" w:rsidP="0043022E">
      <w:pPr>
        <w:jc w:val="left"/>
        <w:rPr>
          <w:rFonts w:cs="Arial"/>
          <w:b/>
          <w:szCs w:val="24"/>
        </w:rPr>
      </w:pPr>
    </w:p>
    <w:p w14:paraId="26DDFBFF" w14:textId="77777777" w:rsidR="003163ED" w:rsidRDefault="003163ED" w:rsidP="003163ED">
      <w:pPr>
        <w:spacing w:line="240" w:lineRule="auto"/>
        <w:rPr>
          <w:rFonts w:cs="Arial"/>
          <w:b/>
          <w:szCs w:val="24"/>
        </w:rPr>
      </w:pPr>
      <w:r>
        <w:rPr>
          <w:rFonts w:cs="Arial"/>
          <w:b/>
          <w:szCs w:val="24"/>
        </w:rPr>
        <w:t>Introduction</w:t>
      </w:r>
    </w:p>
    <w:p w14:paraId="2D1927CD" w14:textId="77777777" w:rsidR="003163ED" w:rsidRDefault="003163ED" w:rsidP="003163ED">
      <w:pPr>
        <w:spacing w:line="240" w:lineRule="auto"/>
        <w:rPr>
          <w:rFonts w:cs="Arial"/>
          <w:szCs w:val="24"/>
        </w:rPr>
      </w:pPr>
    </w:p>
    <w:p w14:paraId="3918A5DC" w14:textId="1C2D6A69" w:rsidR="003163ED" w:rsidRPr="00FA7D62" w:rsidRDefault="003163ED" w:rsidP="003163ED">
      <w:pPr>
        <w:spacing w:line="240" w:lineRule="auto"/>
        <w:rPr>
          <w:rFonts w:eastAsia="Calibri" w:cs="Arial"/>
          <w:color w:val="00B050"/>
          <w:szCs w:val="24"/>
        </w:rPr>
      </w:pPr>
      <w:r w:rsidRPr="00FA7D62">
        <w:rPr>
          <w:rFonts w:eastAsia="Calibri" w:cs="Arial"/>
          <w:szCs w:val="24"/>
        </w:rPr>
        <w:t xml:space="preserve">The </w:t>
      </w:r>
      <w:hyperlink r:id="rId7" w:history="1">
        <w:r w:rsidRPr="00FA7D62">
          <w:rPr>
            <w:rFonts w:eastAsia="Calibri" w:cs="Arial"/>
            <w:color w:val="4F81BD" w:themeColor="accent1"/>
            <w:szCs w:val="24"/>
          </w:rPr>
          <w:t>United Nations Convention on the Rights of the Child</w:t>
        </w:r>
      </w:hyperlink>
      <w:r>
        <w:rPr>
          <w:rFonts w:eastAsia="Calibri" w:cs="Arial"/>
          <w:szCs w:val="24"/>
        </w:rPr>
        <w:t xml:space="preserve"> (UNCRC) </w:t>
      </w:r>
      <w:r w:rsidRPr="00FA7D62">
        <w:rPr>
          <w:rFonts w:eastAsia="Calibri" w:cs="Arial"/>
          <w:szCs w:val="24"/>
        </w:rPr>
        <w:t xml:space="preserve">is an international treaty which sets out the civil, political, economic, social and cultural rights which all children up to the age of 18 years have, regardless of their circumstances. The UNCRC must be seen as a whole: all the rights are linked and no right is more important than another.  The UNCRC includes the following general principles: </w:t>
      </w:r>
    </w:p>
    <w:p w14:paraId="019FC038" w14:textId="77777777" w:rsidR="003163ED" w:rsidRPr="00FA7D62" w:rsidRDefault="003163ED" w:rsidP="003163ED">
      <w:pPr>
        <w:spacing w:line="240" w:lineRule="auto"/>
        <w:ind w:left="420" w:right="67"/>
        <w:rPr>
          <w:rFonts w:eastAsia="Calibri" w:cs="Arial"/>
          <w:szCs w:val="24"/>
          <w:lang w:eastAsia="en-GB"/>
        </w:rPr>
      </w:pPr>
    </w:p>
    <w:p w14:paraId="689DC8E8" w14:textId="77777777" w:rsidR="003163ED" w:rsidRPr="00FA7D62" w:rsidRDefault="003163ED" w:rsidP="003163ED">
      <w:pPr>
        <w:pStyle w:val="ListParagraph"/>
        <w:numPr>
          <w:ilvl w:val="0"/>
          <w:numId w:val="16"/>
        </w:numPr>
        <w:ind w:right="67"/>
        <w:rPr>
          <w:rFonts w:eastAsia="Calibri"/>
          <w:lang w:eastAsia="en-GB"/>
        </w:rPr>
      </w:pPr>
      <w:r w:rsidRPr="00FA7D62">
        <w:rPr>
          <w:rFonts w:eastAsia="Calibri"/>
          <w:lang w:eastAsia="en-GB"/>
        </w:rPr>
        <w:t xml:space="preserve">for rights to be applied without discrimination (Article 2); </w:t>
      </w:r>
    </w:p>
    <w:p w14:paraId="08315EB4" w14:textId="77777777" w:rsidR="003163ED" w:rsidRPr="00FA7D62" w:rsidRDefault="003163ED" w:rsidP="003163ED">
      <w:pPr>
        <w:pStyle w:val="ListParagraph"/>
        <w:numPr>
          <w:ilvl w:val="0"/>
          <w:numId w:val="16"/>
        </w:numPr>
        <w:ind w:right="67"/>
        <w:rPr>
          <w:rFonts w:eastAsia="Calibri"/>
          <w:lang w:eastAsia="en-GB"/>
        </w:rPr>
      </w:pPr>
      <w:r w:rsidRPr="00FA7D62">
        <w:rPr>
          <w:rFonts w:eastAsia="Calibri"/>
          <w:lang w:eastAsia="en-GB"/>
        </w:rPr>
        <w:t xml:space="preserve">for the best interests of the child to be a primary consideration (Article 3); </w:t>
      </w:r>
    </w:p>
    <w:p w14:paraId="690AC5FA" w14:textId="77777777" w:rsidR="003163ED" w:rsidRPr="00FA7D62" w:rsidRDefault="003163ED" w:rsidP="003163ED">
      <w:pPr>
        <w:pStyle w:val="ListParagraph"/>
        <w:numPr>
          <w:ilvl w:val="0"/>
          <w:numId w:val="16"/>
        </w:numPr>
        <w:ind w:right="67"/>
        <w:rPr>
          <w:rFonts w:eastAsia="Calibri"/>
          <w:lang w:eastAsia="en-GB"/>
        </w:rPr>
      </w:pPr>
      <w:r w:rsidRPr="00FA7D62">
        <w:rPr>
          <w:rFonts w:eastAsia="Calibri"/>
          <w:lang w:eastAsia="en-GB"/>
        </w:rPr>
        <w:t xml:space="preserve">the right to life, survival and development (Article 6); and </w:t>
      </w:r>
    </w:p>
    <w:p w14:paraId="5D59F690" w14:textId="6C62E121" w:rsidR="003163ED" w:rsidRPr="00FA7D62" w:rsidRDefault="003163ED" w:rsidP="003163ED">
      <w:pPr>
        <w:pStyle w:val="ListParagraph"/>
        <w:numPr>
          <w:ilvl w:val="0"/>
          <w:numId w:val="16"/>
        </w:numPr>
        <w:ind w:right="67"/>
        <w:rPr>
          <w:rFonts w:eastAsia="Calibri"/>
          <w:lang w:eastAsia="en-GB"/>
        </w:rPr>
      </w:pPr>
      <w:r w:rsidRPr="00FA7D62">
        <w:rPr>
          <w:rFonts w:eastAsia="Calibri"/>
          <w:lang w:eastAsia="en-GB"/>
        </w:rPr>
        <w:t>the right for the child to express a view in matters that affect them and to have that view taken into account in accordance wi</w:t>
      </w:r>
      <w:r w:rsidR="00AF6870">
        <w:rPr>
          <w:rFonts w:eastAsia="Calibri"/>
          <w:lang w:eastAsia="en-GB"/>
        </w:rPr>
        <w:t>th the child’s age and maturity</w:t>
      </w:r>
      <w:r w:rsidRPr="00FA7D62">
        <w:rPr>
          <w:rFonts w:eastAsia="Calibri"/>
          <w:lang w:eastAsia="en-GB"/>
        </w:rPr>
        <w:t xml:space="preserve"> (Article 12). </w:t>
      </w:r>
    </w:p>
    <w:p w14:paraId="5F54DDFC" w14:textId="77777777" w:rsidR="003163ED" w:rsidRPr="00FA7D62" w:rsidRDefault="003163ED" w:rsidP="003163ED">
      <w:pPr>
        <w:spacing w:line="240" w:lineRule="auto"/>
        <w:ind w:left="420" w:right="67"/>
        <w:rPr>
          <w:rFonts w:eastAsia="Calibri" w:cs="Arial"/>
          <w:szCs w:val="24"/>
          <w:lang w:eastAsia="en-GB"/>
        </w:rPr>
      </w:pPr>
    </w:p>
    <w:p w14:paraId="55D4E70F" w14:textId="523C888F" w:rsidR="003163ED" w:rsidRDefault="003163ED" w:rsidP="00C40209">
      <w:pPr>
        <w:autoSpaceDE w:val="0"/>
        <w:autoSpaceDN w:val="0"/>
        <w:spacing w:line="240" w:lineRule="auto"/>
        <w:rPr>
          <w:rFonts w:eastAsia="Calibri" w:cs="Arial"/>
          <w:color w:val="000000"/>
          <w:szCs w:val="24"/>
          <w:lang w:eastAsia="en-GB"/>
        </w:rPr>
      </w:pPr>
      <w:r w:rsidRPr="00FA7D62">
        <w:rPr>
          <w:rFonts w:eastAsia="Calibri" w:cs="Arial"/>
          <w:color w:val="000000"/>
          <w:szCs w:val="24"/>
          <w:lang w:eastAsia="en-GB"/>
        </w:rPr>
        <w:t>The Scottish G</w:t>
      </w:r>
      <w:r>
        <w:rPr>
          <w:rFonts w:eastAsia="Calibri" w:cs="Arial"/>
          <w:color w:val="000000"/>
          <w:szCs w:val="24"/>
          <w:lang w:eastAsia="en-GB"/>
        </w:rPr>
        <w:t>overnment is committed to ensuring</w:t>
      </w:r>
      <w:r w:rsidRPr="00FA7D62">
        <w:rPr>
          <w:rFonts w:eastAsia="Calibri" w:cs="Arial"/>
          <w:color w:val="000000"/>
          <w:szCs w:val="24"/>
          <w:lang w:eastAsia="en-GB"/>
        </w:rPr>
        <w:t xml:space="preserve"> that children’s rights are respected, protected and fulfilled. </w:t>
      </w:r>
      <w:r w:rsidRPr="003163ED">
        <w:rPr>
          <w:rFonts w:eastAsia="Calibri" w:cs="Arial"/>
          <w:color w:val="000000"/>
          <w:szCs w:val="24"/>
          <w:lang w:eastAsia="en-GB"/>
        </w:rPr>
        <w:t xml:space="preserve">The UNCRC (Incorporation) (Scotland) Act </w:t>
      </w:r>
      <w:r w:rsidR="00690FCF">
        <w:rPr>
          <w:rFonts w:eastAsia="Calibri" w:cs="Arial"/>
          <w:color w:val="000000"/>
          <w:szCs w:val="24"/>
          <w:lang w:eastAsia="en-GB"/>
        </w:rPr>
        <w:t xml:space="preserve">2024 </w:t>
      </w:r>
      <w:r w:rsidR="0007676B">
        <w:rPr>
          <w:rFonts w:eastAsia="Calibri" w:cs="Arial"/>
          <w:color w:val="000000"/>
          <w:szCs w:val="24"/>
          <w:lang w:eastAsia="en-GB"/>
        </w:rPr>
        <w:t xml:space="preserve">(“the Act”) </w:t>
      </w:r>
      <w:r w:rsidRPr="003163ED">
        <w:rPr>
          <w:rFonts w:eastAsia="Calibri" w:cs="Arial"/>
          <w:color w:val="000000"/>
          <w:szCs w:val="24"/>
          <w:lang w:eastAsia="en-GB"/>
        </w:rPr>
        <w:t xml:space="preserve">was </w:t>
      </w:r>
      <w:r w:rsidR="00473174">
        <w:rPr>
          <w:rFonts w:eastAsia="Calibri" w:cs="Arial"/>
          <w:color w:val="000000"/>
          <w:szCs w:val="24"/>
          <w:lang w:eastAsia="en-GB"/>
        </w:rPr>
        <w:t>approved</w:t>
      </w:r>
      <w:r w:rsidR="00473174" w:rsidRPr="003163ED">
        <w:rPr>
          <w:rFonts w:eastAsia="Calibri" w:cs="Arial"/>
          <w:color w:val="000000"/>
          <w:szCs w:val="24"/>
          <w:lang w:eastAsia="en-GB"/>
        </w:rPr>
        <w:t xml:space="preserve"> </w:t>
      </w:r>
      <w:r w:rsidRPr="003163ED">
        <w:rPr>
          <w:rFonts w:eastAsia="Calibri" w:cs="Arial"/>
          <w:color w:val="000000"/>
          <w:szCs w:val="24"/>
          <w:lang w:eastAsia="en-GB"/>
        </w:rPr>
        <w:t xml:space="preserve">by the Scottish Parliament on </w:t>
      </w:r>
      <w:r w:rsidR="00B55B4C">
        <w:rPr>
          <w:rFonts w:eastAsia="Calibri" w:cs="Arial"/>
          <w:color w:val="000000"/>
          <w:szCs w:val="24"/>
          <w:lang w:eastAsia="en-GB"/>
        </w:rPr>
        <w:t>7 December 2023</w:t>
      </w:r>
      <w:r w:rsidR="0007676B">
        <w:rPr>
          <w:rFonts w:eastAsia="Calibri" w:cs="Arial"/>
          <w:color w:val="000000"/>
          <w:szCs w:val="24"/>
          <w:lang w:eastAsia="en-GB"/>
        </w:rPr>
        <w:t xml:space="preserve"> and received Royal Assent on 16 January 2024</w:t>
      </w:r>
      <w:r w:rsidRPr="003163ED">
        <w:rPr>
          <w:rFonts w:eastAsia="Calibri" w:cs="Arial"/>
          <w:color w:val="000000"/>
          <w:szCs w:val="24"/>
          <w:lang w:eastAsia="en-GB"/>
        </w:rPr>
        <w:t>.</w:t>
      </w:r>
      <w:r>
        <w:rPr>
          <w:rFonts w:eastAsia="Calibri" w:cs="Arial"/>
          <w:color w:val="000000"/>
          <w:szCs w:val="24"/>
          <w:lang w:eastAsia="en-GB"/>
        </w:rPr>
        <w:t xml:space="preserve"> The Act is</w:t>
      </w:r>
      <w:r w:rsidRPr="00FA7D62">
        <w:rPr>
          <w:rFonts w:eastAsia="Calibri" w:cs="Arial"/>
          <w:color w:val="000000"/>
          <w:szCs w:val="24"/>
          <w:lang w:eastAsia="en-GB"/>
        </w:rPr>
        <w:t xml:space="preserve"> a landmark piece of legislation that incorporate</w:t>
      </w:r>
      <w:r>
        <w:rPr>
          <w:rFonts w:eastAsia="Calibri" w:cs="Arial"/>
          <w:color w:val="000000"/>
          <w:szCs w:val="24"/>
          <w:lang w:eastAsia="en-GB"/>
        </w:rPr>
        <w:t>d</w:t>
      </w:r>
      <w:r w:rsidRPr="00FA7D62">
        <w:rPr>
          <w:rFonts w:eastAsia="Calibri" w:cs="Arial"/>
          <w:color w:val="000000"/>
          <w:szCs w:val="24"/>
          <w:lang w:eastAsia="en-GB"/>
        </w:rPr>
        <w:t xml:space="preserve"> the UNCRC into Scots law to the maximum extent of the Scottish Parliament’s powers – signalling a revolution in children’s rights in Scotland. </w:t>
      </w:r>
    </w:p>
    <w:p w14:paraId="63B11479" w14:textId="77777777" w:rsidR="003163ED" w:rsidRDefault="003163ED" w:rsidP="003163ED">
      <w:pPr>
        <w:autoSpaceDE w:val="0"/>
        <w:autoSpaceDN w:val="0"/>
        <w:spacing w:line="240" w:lineRule="auto"/>
        <w:ind w:left="80"/>
        <w:rPr>
          <w:rFonts w:eastAsia="Calibri" w:cs="Arial"/>
          <w:color w:val="000000"/>
          <w:szCs w:val="24"/>
          <w:lang w:eastAsia="en-GB"/>
        </w:rPr>
      </w:pPr>
    </w:p>
    <w:p w14:paraId="1B6B409F" w14:textId="24B71810" w:rsidR="003163ED" w:rsidRPr="003163ED" w:rsidRDefault="003163ED" w:rsidP="003163ED">
      <w:pPr>
        <w:jc w:val="left"/>
        <w:rPr>
          <w:rFonts w:cs="Arial"/>
        </w:rPr>
      </w:pPr>
      <w:r w:rsidRPr="003163ED">
        <w:rPr>
          <w:rFonts w:cs="Arial"/>
        </w:rPr>
        <w:t xml:space="preserve">The intent behind the Act is to deliver a proactive culture of everyday accountability for children’s rights across public services in Scotland. The Act </w:t>
      </w:r>
      <w:r>
        <w:rPr>
          <w:rFonts w:cs="Arial"/>
        </w:rPr>
        <w:t xml:space="preserve">also </w:t>
      </w:r>
      <w:r w:rsidRPr="003163ED">
        <w:rPr>
          <w:rFonts w:cs="Arial"/>
        </w:rPr>
        <w:t>seeks to empower our children and young people to claim their rights and help to make Scotland the best place in the world to grow up.</w:t>
      </w:r>
    </w:p>
    <w:p w14:paraId="7AAB4574" w14:textId="77777777" w:rsidR="00A85EB8" w:rsidRDefault="00A85EB8" w:rsidP="0043022E">
      <w:pPr>
        <w:jc w:val="left"/>
        <w:rPr>
          <w:rFonts w:cs="Arial"/>
          <w:b/>
          <w:szCs w:val="24"/>
        </w:rPr>
      </w:pPr>
    </w:p>
    <w:p w14:paraId="5D5DCCD7" w14:textId="6D3D35BD" w:rsidR="0043022E" w:rsidRDefault="0043022E" w:rsidP="0043022E">
      <w:pPr>
        <w:jc w:val="left"/>
        <w:rPr>
          <w:rFonts w:cs="Arial"/>
          <w:b/>
          <w:szCs w:val="24"/>
        </w:rPr>
      </w:pPr>
      <w:r>
        <w:rPr>
          <w:rFonts w:cs="Arial"/>
          <w:b/>
          <w:szCs w:val="24"/>
        </w:rPr>
        <w:t>Overview</w:t>
      </w:r>
    </w:p>
    <w:p w14:paraId="72884CD0" w14:textId="77777777" w:rsidR="0043022E" w:rsidRDefault="0043022E" w:rsidP="0043022E">
      <w:pPr>
        <w:jc w:val="left"/>
        <w:rPr>
          <w:rFonts w:cs="Arial"/>
          <w:b/>
          <w:szCs w:val="24"/>
        </w:rPr>
      </w:pPr>
    </w:p>
    <w:p w14:paraId="4F03B3C3" w14:textId="14D6457C" w:rsidR="004F3DFC" w:rsidRDefault="004F3DFC" w:rsidP="004F3DFC">
      <w:pPr>
        <w:spacing w:line="240" w:lineRule="auto"/>
        <w:rPr>
          <w:rFonts w:cs="Arial"/>
          <w:szCs w:val="24"/>
        </w:rPr>
      </w:pPr>
      <w:r>
        <w:rPr>
          <w:rFonts w:cs="Arial"/>
          <w:szCs w:val="24"/>
        </w:rPr>
        <w:t xml:space="preserve">In accordance with section 47(2)(a) of the Act, </w:t>
      </w:r>
      <w:r>
        <w:rPr>
          <w:rFonts w:cs="Arial"/>
          <w:szCs w:val="24"/>
          <w:lang w:eastAsia="en-GB"/>
        </w:rPr>
        <w:t xml:space="preserve">Part 2 (duties on public authorities) </w:t>
      </w:r>
      <w:r>
        <w:rPr>
          <w:rFonts w:cs="Arial"/>
          <w:szCs w:val="24"/>
        </w:rPr>
        <w:t>and Part 3</w:t>
      </w:r>
      <w:r w:rsidR="000863B8">
        <w:rPr>
          <w:rFonts w:cs="Arial"/>
          <w:szCs w:val="24"/>
        </w:rPr>
        <w:t>, section 18</w:t>
      </w:r>
      <w:r>
        <w:rPr>
          <w:rFonts w:cs="Arial"/>
          <w:szCs w:val="24"/>
        </w:rPr>
        <w:t xml:space="preserve"> </w:t>
      </w:r>
      <w:r>
        <w:rPr>
          <w:rFonts w:cs="Arial"/>
          <w:szCs w:val="24"/>
          <w:lang w:eastAsia="en-GB"/>
        </w:rPr>
        <w:t xml:space="preserve">(reporting duties of listed public authorities) </w:t>
      </w:r>
      <w:r>
        <w:rPr>
          <w:rFonts w:cs="Arial"/>
          <w:szCs w:val="24"/>
        </w:rPr>
        <w:t xml:space="preserve">of the Act will come into force 6 months after Royal Assent. As Royal Assent was obtained on 16 January 2024, this will be on 16 July 2024.  </w:t>
      </w:r>
    </w:p>
    <w:p w14:paraId="4A780EE9" w14:textId="77777777" w:rsidR="004F3DFC" w:rsidRDefault="004F3DFC" w:rsidP="004F3DFC">
      <w:pPr>
        <w:spacing w:line="240" w:lineRule="auto"/>
        <w:rPr>
          <w:rFonts w:cs="Arial"/>
          <w:szCs w:val="24"/>
        </w:rPr>
      </w:pPr>
    </w:p>
    <w:p w14:paraId="71F7B94D" w14:textId="5F473E11" w:rsidR="003163ED" w:rsidRDefault="004F3DFC" w:rsidP="003163ED">
      <w:pPr>
        <w:autoSpaceDE w:val="0"/>
        <w:autoSpaceDN w:val="0"/>
        <w:adjustRightInd w:val="0"/>
        <w:spacing w:line="240" w:lineRule="auto"/>
        <w:rPr>
          <w:rFonts w:cs="Arial"/>
          <w:szCs w:val="24"/>
          <w:lang w:eastAsia="en-GB"/>
        </w:rPr>
      </w:pPr>
      <w:r>
        <w:rPr>
          <w:rFonts w:cs="Arial"/>
          <w:szCs w:val="24"/>
          <w:lang w:eastAsia="en-GB"/>
        </w:rPr>
        <w:t xml:space="preserve">The Act requires Scottish Ministers to publish guidance (“statutory” guidance) on </w:t>
      </w:r>
      <w:bookmarkStart w:id="0" w:name="_Hlk156472875"/>
      <w:r w:rsidR="00280184">
        <w:rPr>
          <w:rFonts w:cs="Arial"/>
          <w:szCs w:val="24"/>
          <w:lang w:eastAsia="en-GB"/>
        </w:rPr>
        <w:t xml:space="preserve">Part 2 </w:t>
      </w:r>
      <w:bookmarkEnd w:id="0"/>
      <w:r w:rsidR="006B1C57">
        <w:rPr>
          <w:rFonts w:cs="Arial"/>
          <w:szCs w:val="24"/>
          <w:lang w:eastAsia="en-GB"/>
        </w:rPr>
        <w:t>and</w:t>
      </w:r>
      <w:r w:rsidR="000863B8">
        <w:rPr>
          <w:rFonts w:cs="Arial"/>
          <w:szCs w:val="24"/>
          <w:lang w:eastAsia="en-GB"/>
        </w:rPr>
        <w:t xml:space="preserve"> </w:t>
      </w:r>
      <w:r w:rsidR="006B1C57">
        <w:rPr>
          <w:rFonts w:cs="Arial"/>
          <w:szCs w:val="24"/>
          <w:lang w:eastAsia="en-GB"/>
        </w:rPr>
        <w:t>Part 3</w:t>
      </w:r>
      <w:r w:rsidR="000863B8">
        <w:rPr>
          <w:rFonts w:cs="Arial"/>
          <w:szCs w:val="24"/>
          <w:lang w:eastAsia="en-GB"/>
        </w:rPr>
        <w:t>, section 18</w:t>
      </w:r>
      <w:r>
        <w:rPr>
          <w:rFonts w:cs="Arial"/>
          <w:szCs w:val="24"/>
          <w:lang w:eastAsia="en-GB"/>
        </w:rPr>
        <w:t xml:space="preserve">. It also requires them to consult on that guidance. This consultation fulfils that requirement </w:t>
      </w:r>
      <w:r w:rsidR="00AF6870">
        <w:rPr>
          <w:rFonts w:cs="Arial"/>
          <w:szCs w:val="24"/>
          <w:lang w:eastAsia="en-GB"/>
        </w:rPr>
        <w:t>and is launched by Scottish Ministers in accordance with section</w:t>
      </w:r>
      <w:r w:rsidR="000863B8">
        <w:rPr>
          <w:rFonts w:cs="Arial"/>
          <w:szCs w:val="24"/>
          <w:lang w:eastAsia="en-GB"/>
        </w:rPr>
        <w:t>s</w:t>
      </w:r>
      <w:r w:rsidR="00AF6870">
        <w:rPr>
          <w:rFonts w:cs="Arial"/>
          <w:szCs w:val="24"/>
          <w:lang w:eastAsia="en-GB"/>
        </w:rPr>
        <w:t xml:space="preserve"> 1</w:t>
      </w:r>
      <w:r w:rsidR="0007676B">
        <w:rPr>
          <w:rFonts w:cs="Arial"/>
          <w:szCs w:val="24"/>
          <w:lang w:eastAsia="en-GB"/>
        </w:rPr>
        <w:t>3</w:t>
      </w:r>
      <w:r w:rsidR="00AF6870">
        <w:rPr>
          <w:rFonts w:cs="Arial"/>
          <w:szCs w:val="24"/>
          <w:lang w:eastAsia="en-GB"/>
        </w:rPr>
        <w:t xml:space="preserve">(3) and </w:t>
      </w:r>
      <w:r w:rsidR="0007676B">
        <w:rPr>
          <w:rFonts w:cs="Arial"/>
          <w:szCs w:val="24"/>
          <w:lang w:eastAsia="en-GB"/>
        </w:rPr>
        <w:t>20</w:t>
      </w:r>
      <w:r w:rsidR="00AF6870">
        <w:rPr>
          <w:rFonts w:cs="Arial"/>
          <w:szCs w:val="24"/>
          <w:lang w:eastAsia="en-GB"/>
        </w:rPr>
        <w:t xml:space="preserve">(2) of the Act. </w:t>
      </w:r>
    </w:p>
    <w:p w14:paraId="478CB4FC" w14:textId="77777777" w:rsidR="003163ED" w:rsidRDefault="003163ED" w:rsidP="003163ED">
      <w:pPr>
        <w:autoSpaceDE w:val="0"/>
        <w:autoSpaceDN w:val="0"/>
        <w:adjustRightInd w:val="0"/>
        <w:spacing w:line="240" w:lineRule="auto"/>
        <w:rPr>
          <w:rFonts w:cs="Arial"/>
          <w:szCs w:val="24"/>
          <w:lang w:eastAsia="en-GB"/>
        </w:rPr>
      </w:pPr>
    </w:p>
    <w:p w14:paraId="417462A5" w14:textId="19A14A99" w:rsidR="005806BB" w:rsidRPr="00680F4E" w:rsidRDefault="005806BB" w:rsidP="005806BB">
      <w:pPr>
        <w:autoSpaceDE w:val="0"/>
        <w:autoSpaceDN w:val="0"/>
        <w:adjustRightInd w:val="0"/>
        <w:spacing w:line="240" w:lineRule="auto"/>
        <w:rPr>
          <w:rFonts w:cs="Arial"/>
          <w:color w:val="000000"/>
        </w:rPr>
      </w:pPr>
      <w:r>
        <w:t>Th</w:t>
      </w:r>
      <w:r w:rsidR="004F3DFC">
        <w:t>e</w:t>
      </w:r>
      <w:r>
        <w:t xml:space="preserve"> </w:t>
      </w:r>
      <w:r w:rsidR="004F3DFC">
        <w:t xml:space="preserve">draft </w:t>
      </w:r>
      <w:r>
        <w:t xml:space="preserve">guidance </w:t>
      </w:r>
      <w:r w:rsidR="004F3DFC">
        <w:t xml:space="preserve">attached to this consultation </w:t>
      </w:r>
      <w:r>
        <w:t xml:space="preserve">was developed </w:t>
      </w:r>
      <w:r w:rsidR="00AF6870">
        <w:t>with support from</w:t>
      </w:r>
      <w:r>
        <w:t xml:space="preserve"> stakeholders</w:t>
      </w:r>
      <w:r w:rsidR="003163ED">
        <w:t>. A</w:t>
      </w:r>
      <w:r w:rsidRPr="00680F4E">
        <w:rPr>
          <w:rFonts w:cs="Arial"/>
        </w:rPr>
        <w:t xml:space="preserve"> </w:t>
      </w:r>
      <w:hyperlink r:id="rId8" w:history="1">
        <w:r w:rsidRPr="006A6650">
          <w:rPr>
            <w:rStyle w:val="Hyperlink"/>
            <w:rFonts w:cs="Arial"/>
          </w:rPr>
          <w:t>Guidance Subgroup</w:t>
        </w:r>
      </w:hyperlink>
      <w:r w:rsidRPr="00680F4E">
        <w:rPr>
          <w:rFonts w:cs="Arial"/>
        </w:rPr>
        <w:t xml:space="preserve"> comprising of members from the </w:t>
      </w:r>
      <w:hyperlink r:id="rId9" w:history="1">
        <w:r w:rsidRPr="00AF6870">
          <w:rPr>
            <w:rStyle w:val="Hyperlink"/>
            <w:rFonts w:cs="Arial"/>
          </w:rPr>
          <w:t>Embedding in Public Services</w:t>
        </w:r>
      </w:hyperlink>
      <w:r>
        <w:rPr>
          <w:rFonts w:cs="Arial"/>
        </w:rPr>
        <w:t xml:space="preserve"> group wa</w:t>
      </w:r>
      <w:r w:rsidRPr="00680F4E">
        <w:rPr>
          <w:rFonts w:cs="Arial"/>
        </w:rPr>
        <w:t xml:space="preserve">s established to assist </w:t>
      </w:r>
      <w:r w:rsidR="00D251FF">
        <w:rPr>
          <w:rFonts w:cs="Arial"/>
        </w:rPr>
        <w:t>and support with this process</w:t>
      </w:r>
      <w:r w:rsidRPr="00680F4E">
        <w:rPr>
          <w:rFonts w:cs="Arial"/>
        </w:rPr>
        <w:t xml:space="preserve">. </w:t>
      </w:r>
    </w:p>
    <w:p w14:paraId="18C1CDF0" w14:textId="77777777" w:rsidR="00C64C53" w:rsidRPr="005806BB" w:rsidRDefault="00C64C53" w:rsidP="005806BB">
      <w:pPr>
        <w:autoSpaceDE w:val="0"/>
        <w:autoSpaceDN w:val="0"/>
        <w:adjustRightInd w:val="0"/>
        <w:spacing w:line="240" w:lineRule="auto"/>
        <w:rPr>
          <w:rFonts w:cs="Arial"/>
          <w:szCs w:val="24"/>
          <w:lang w:eastAsia="en-GB"/>
        </w:rPr>
      </w:pPr>
    </w:p>
    <w:p w14:paraId="781C5D52" w14:textId="6874B9F2" w:rsidR="0077475C" w:rsidRDefault="0077475C" w:rsidP="0043022E">
      <w:pPr>
        <w:spacing w:line="240" w:lineRule="auto"/>
        <w:rPr>
          <w:rFonts w:cs="Arial"/>
          <w:szCs w:val="24"/>
        </w:rPr>
      </w:pPr>
      <w:r>
        <w:rPr>
          <w:rFonts w:cs="Arial"/>
          <w:szCs w:val="24"/>
        </w:rPr>
        <w:t xml:space="preserve">This consultation seeks your views on </w:t>
      </w:r>
      <w:r w:rsidR="00615CE6">
        <w:rPr>
          <w:rFonts w:cs="Arial"/>
          <w:szCs w:val="24"/>
        </w:rPr>
        <w:t>the draft statutory guidance</w:t>
      </w:r>
      <w:r w:rsidR="003502AA">
        <w:rPr>
          <w:rFonts w:cs="Arial"/>
          <w:szCs w:val="24"/>
        </w:rPr>
        <w:t>.</w:t>
      </w:r>
    </w:p>
    <w:p w14:paraId="733502E1" w14:textId="77777777" w:rsidR="004C4F79" w:rsidRDefault="004C4F79" w:rsidP="0043022E">
      <w:pPr>
        <w:spacing w:line="240" w:lineRule="auto"/>
        <w:rPr>
          <w:rFonts w:cs="Arial"/>
          <w:szCs w:val="24"/>
        </w:rPr>
      </w:pPr>
    </w:p>
    <w:p w14:paraId="1B84F137" w14:textId="0903B0B3" w:rsidR="0043022E" w:rsidRPr="00C67D9D" w:rsidRDefault="00280184" w:rsidP="00C67D9D">
      <w:pPr>
        <w:pStyle w:val="ListParagraph"/>
        <w:autoSpaceDE w:val="0"/>
        <w:autoSpaceDN w:val="0"/>
        <w:adjustRightInd w:val="0"/>
        <w:ind w:left="0"/>
        <w:rPr>
          <w:lang w:eastAsia="en-GB"/>
        </w:rPr>
      </w:pPr>
      <w:r>
        <w:rPr>
          <w:b/>
        </w:rPr>
        <w:lastRenderedPageBreak/>
        <w:t>Part 2</w:t>
      </w:r>
      <w:r w:rsidR="00F15B5E">
        <w:rPr>
          <w:b/>
        </w:rPr>
        <w:t xml:space="preserve">: </w:t>
      </w:r>
      <w:r>
        <w:rPr>
          <w:b/>
        </w:rPr>
        <w:t>Compatibility</w:t>
      </w:r>
      <w:r w:rsidR="00D251FF">
        <w:rPr>
          <w:b/>
        </w:rPr>
        <w:t xml:space="preserve"> with the UNCRC requirements</w:t>
      </w:r>
      <w:r w:rsidR="00C67D9D">
        <w:rPr>
          <w:b/>
        </w:rPr>
        <w:t>,</w:t>
      </w:r>
      <w:r>
        <w:rPr>
          <w:b/>
        </w:rPr>
        <w:t xml:space="preserve"> </w:t>
      </w:r>
      <w:r w:rsidR="00C67D9D" w:rsidRPr="00C67D9D">
        <w:rPr>
          <w:b/>
          <w:lang w:eastAsia="en-GB"/>
        </w:rPr>
        <w:t xml:space="preserve">and </w:t>
      </w:r>
      <w:r w:rsidR="00473174">
        <w:rPr>
          <w:b/>
          <w:lang w:eastAsia="en-GB"/>
        </w:rPr>
        <w:t>c</w:t>
      </w:r>
      <w:r w:rsidR="00473174" w:rsidRPr="00C67D9D">
        <w:rPr>
          <w:b/>
          <w:lang w:eastAsia="en-GB"/>
        </w:rPr>
        <w:t xml:space="preserve">hild </w:t>
      </w:r>
      <w:r w:rsidR="00C67D9D" w:rsidRPr="00C67D9D">
        <w:rPr>
          <w:b/>
          <w:lang w:eastAsia="en-GB"/>
        </w:rPr>
        <w:t xml:space="preserve">rights-respecting practice </w:t>
      </w:r>
    </w:p>
    <w:p w14:paraId="56268CFE" w14:textId="77777777" w:rsidR="0043022E" w:rsidRDefault="0043022E" w:rsidP="0043022E">
      <w:pPr>
        <w:spacing w:line="240" w:lineRule="auto"/>
        <w:rPr>
          <w:rFonts w:cs="Arial"/>
          <w:szCs w:val="24"/>
        </w:rPr>
      </w:pPr>
    </w:p>
    <w:p w14:paraId="741A3A48" w14:textId="2B5057E5" w:rsidR="00AB3D3F" w:rsidRPr="00C67D9D" w:rsidRDefault="00280184" w:rsidP="00AB3D3F">
      <w:pPr>
        <w:spacing w:line="240" w:lineRule="auto"/>
      </w:pPr>
      <w:r>
        <w:rPr>
          <w:rFonts w:cs="Arial"/>
          <w:szCs w:val="24"/>
        </w:rPr>
        <w:t>Part 2</w:t>
      </w:r>
      <w:r w:rsidR="000863B8">
        <w:rPr>
          <w:rFonts w:cs="Arial"/>
          <w:szCs w:val="24"/>
        </w:rPr>
        <w:t>, s</w:t>
      </w:r>
      <w:r w:rsidR="00E65EC1">
        <w:rPr>
          <w:rFonts w:cs="Arial"/>
          <w:szCs w:val="24"/>
        </w:rPr>
        <w:t xml:space="preserve">ection 6 </w:t>
      </w:r>
      <w:r w:rsidR="000863B8">
        <w:rPr>
          <w:rFonts w:cs="Arial"/>
          <w:szCs w:val="24"/>
        </w:rPr>
        <w:t xml:space="preserve">of the Act </w:t>
      </w:r>
      <w:r w:rsidR="00E65EC1">
        <w:rPr>
          <w:rFonts w:cs="Arial"/>
          <w:szCs w:val="24"/>
        </w:rPr>
        <w:t>provides that it is unlawful for a public authority to act in a way which is incompatible with the UNCRC requirements</w:t>
      </w:r>
      <w:r w:rsidR="006B1C57">
        <w:rPr>
          <w:rFonts w:cs="Arial"/>
          <w:szCs w:val="24"/>
        </w:rPr>
        <w:t xml:space="preserve"> as set out in the Act</w:t>
      </w:r>
      <w:r w:rsidR="00E65EC1">
        <w:rPr>
          <w:rFonts w:cs="Arial"/>
          <w:szCs w:val="24"/>
        </w:rPr>
        <w:t xml:space="preserve">. </w:t>
      </w:r>
      <w:r w:rsidR="00AB3D3F">
        <w:rPr>
          <w:rFonts w:cs="Arial"/>
          <w:szCs w:val="24"/>
        </w:rPr>
        <w:t>The section 6 duty also applies to those carrying out functions of a public nature.</w:t>
      </w:r>
    </w:p>
    <w:p w14:paraId="19117687" w14:textId="77777777" w:rsidR="000E6FAF" w:rsidRDefault="000E6FAF" w:rsidP="0043022E">
      <w:pPr>
        <w:spacing w:line="240" w:lineRule="auto"/>
        <w:rPr>
          <w:rFonts w:cs="Arial"/>
          <w:szCs w:val="24"/>
        </w:rPr>
      </w:pPr>
    </w:p>
    <w:p w14:paraId="785D317C" w14:textId="77777777" w:rsidR="007525D6" w:rsidRDefault="00E65EC1" w:rsidP="00E65EC1">
      <w:pPr>
        <w:spacing w:line="240" w:lineRule="auto"/>
      </w:pPr>
      <w:r>
        <w:t>The meaning of “public authority” has been drawn intentionally wide so as to ensure that the duty applies to all public authorities in respect of which it is within the power of the Scottish Parliament to apply the duty. The Act makes it clear that this includes the Scottish Ministers and Scottish courts and tribunals.</w:t>
      </w:r>
    </w:p>
    <w:p w14:paraId="73A8F627" w14:textId="38859977" w:rsidR="00AB3D3F" w:rsidRDefault="00C67D9D" w:rsidP="00E65EC1">
      <w:pPr>
        <w:spacing w:line="240" w:lineRule="auto"/>
        <w:rPr>
          <w:rFonts w:cs="Arial"/>
          <w:szCs w:val="24"/>
        </w:rPr>
      </w:pPr>
      <w:r>
        <w:rPr>
          <w:rFonts w:cs="Arial"/>
          <w:szCs w:val="24"/>
        </w:rPr>
        <w:t xml:space="preserve"> </w:t>
      </w:r>
    </w:p>
    <w:p w14:paraId="00E9B79C" w14:textId="71A80E20" w:rsidR="00AB3D3F" w:rsidRPr="00AB3D3F" w:rsidRDefault="00AB3D3F" w:rsidP="00AB3D3F">
      <w:pPr>
        <w:rPr>
          <w:rFonts w:cs="Arial"/>
          <w:color w:val="000000"/>
          <w:szCs w:val="24"/>
        </w:rPr>
      </w:pPr>
      <w:r>
        <w:rPr>
          <w:rFonts w:cs="Arial"/>
          <w:color w:val="000000"/>
          <w:szCs w:val="24"/>
        </w:rPr>
        <w:t xml:space="preserve">Public functions are generally understood to be functions performed for the collective benefit of the general public (although </w:t>
      </w:r>
      <w:r w:rsidR="002E2669">
        <w:rPr>
          <w:rFonts w:cs="Arial"/>
          <w:color w:val="000000"/>
          <w:szCs w:val="24"/>
        </w:rPr>
        <w:t xml:space="preserve">in the event of a claim of unlawfulness being raised, </w:t>
      </w:r>
      <w:r>
        <w:rPr>
          <w:rFonts w:cs="Arial"/>
          <w:color w:val="000000"/>
          <w:szCs w:val="24"/>
        </w:rPr>
        <w:t xml:space="preserve">the courts will determine whether a function is public on a case-by-case basis). Therefore, the </w:t>
      </w:r>
      <w:r w:rsidR="0007676B">
        <w:rPr>
          <w:rFonts w:cs="Arial"/>
          <w:color w:val="000000"/>
          <w:szCs w:val="24"/>
        </w:rPr>
        <w:t xml:space="preserve">Act </w:t>
      </w:r>
      <w:r>
        <w:rPr>
          <w:rFonts w:cs="Arial"/>
          <w:color w:val="000000"/>
          <w:szCs w:val="24"/>
        </w:rPr>
        <w:t>will not apply to private businesses, except in relation to any instance where they carry out functions of a public nature.</w:t>
      </w:r>
    </w:p>
    <w:p w14:paraId="0A83A62E" w14:textId="1CEAA554" w:rsidR="00107769" w:rsidRDefault="00107769" w:rsidP="0043022E">
      <w:pPr>
        <w:spacing w:line="240" w:lineRule="auto"/>
      </w:pPr>
    </w:p>
    <w:p w14:paraId="2FA6A286" w14:textId="0797BF54" w:rsidR="00AF6870" w:rsidRDefault="000863B8" w:rsidP="0043022E">
      <w:pPr>
        <w:spacing w:line="240" w:lineRule="auto"/>
        <w:rPr>
          <w:rFonts w:cs="Arial"/>
          <w:szCs w:val="24"/>
        </w:rPr>
      </w:pPr>
      <w:r>
        <w:rPr>
          <w:rFonts w:cs="Arial"/>
          <w:szCs w:val="24"/>
        </w:rPr>
        <w:t xml:space="preserve">The </w:t>
      </w:r>
      <w:r w:rsidR="00107769">
        <w:rPr>
          <w:rFonts w:cs="Arial"/>
          <w:szCs w:val="24"/>
        </w:rPr>
        <w:t xml:space="preserve">guidance </w:t>
      </w:r>
      <w:r w:rsidR="00AF6870">
        <w:t xml:space="preserve">is intended to provide </w:t>
      </w:r>
      <w:r w:rsidR="00AF6870" w:rsidRPr="003F7B44">
        <w:t xml:space="preserve">accessible </w:t>
      </w:r>
      <w:r w:rsidR="00AF6870">
        <w:t>information</w:t>
      </w:r>
      <w:r w:rsidR="00AF6870" w:rsidRPr="003F7B44">
        <w:t xml:space="preserve"> which </w:t>
      </w:r>
      <w:r w:rsidR="00AF6870">
        <w:t>supports</w:t>
      </w:r>
      <w:r w:rsidR="00AF6870" w:rsidRPr="003F7B44">
        <w:t xml:space="preserve"> public authorities to understand </w:t>
      </w:r>
      <w:r w:rsidR="00AF6870">
        <w:t xml:space="preserve">and fulfil their duties under section 6, </w:t>
      </w:r>
      <w:r w:rsidR="00AF6870" w:rsidRPr="003F7B44">
        <w:t>and</w:t>
      </w:r>
      <w:r w:rsidR="00AF6870">
        <w:t xml:space="preserve"> to</w:t>
      </w:r>
      <w:r w:rsidR="00AF6870" w:rsidRPr="003F7B44">
        <w:t xml:space="preserve"> </w:t>
      </w:r>
      <w:r w:rsidR="00AF6870">
        <w:t xml:space="preserve">secure better or further effect of </w:t>
      </w:r>
      <w:r w:rsidR="00AF6870" w:rsidRPr="003F7B44">
        <w:t>children’s rights</w:t>
      </w:r>
      <w:r w:rsidR="00AF6870">
        <w:t xml:space="preserve">. </w:t>
      </w:r>
    </w:p>
    <w:p w14:paraId="2F0628C9" w14:textId="77777777" w:rsidR="0043022E" w:rsidRDefault="0043022E" w:rsidP="0043022E">
      <w:pPr>
        <w:spacing w:line="240" w:lineRule="auto"/>
        <w:rPr>
          <w:rFonts w:cs="Arial"/>
          <w:szCs w:val="24"/>
        </w:rPr>
      </w:pPr>
    </w:p>
    <w:p w14:paraId="1A578009" w14:textId="08B2349E" w:rsidR="00C67D9D" w:rsidRDefault="00280184" w:rsidP="00FC4308">
      <w:pPr>
        <w:spacing w:line="240" w:lineRule="auto"/>
        <w:rPr>
          <w:rFonts w:cs="Arial"/>
          <w:b/>
          <w:szCs w:val="24"/>
        </w:rPr>
      </w:pPr>
      <w:r>
        <w:rPr>
          <w:rFonts w:cs="Arial"/>
          <w:b/>
          <w:szCs w:val="24"/>
        </w:rPr>
        <w:t>Part 3</w:t>
      </w:r>
      <w:r w:rsidR="003502AA">
        <w:rPr>
          <w:rFonts w:cs="Arial"/>
          <w:b/>
          <w:szCs w:val="24"/>
        </w:rPr>
        <w:t>:</w:t>
      </w:r>
      <w:r>
        <w:rPr>
          <w:rFonts w:cs="Arial"/>
          <w:b/>
          <w:szCs w:val="24"/>
        </w:rPr>
        <w:t xml:space="preserve"> </w:t>
      </w:r>
      <w:r w:rsidR="00AB3D3F" w:rsidRPr="00AB3D3F">
        <w:rPr>
          <w:b/>
          <w:bCs/>
        </w:rPr>
        <w:t>Reporting duty of listed authorities</w:t>
      </w:r>
    </w:p>
    <w:p w14:paraId="29D7AB05" w14:textId="77777777" w:rsidR="00280184" w:rsidRDefault="00280184">
      <w:pPr>
        <w:spacing w:line="240" w:lineRule="auto"/>
        <w:rPr>
          <w:rFonts w:cs="Arial"/>
          <w:szCs w:val="24"/>
        </w:rPr>
      </w:pPr>
    </w:p>
    <w:p w14:paraId="51C898CF" w14:textId="45CC73E4" w:rsidR="004C4F79" w:rsidRDefault="00280184">
      <w:pPr>
        <w:spacing w:line="240" w:lineRule="auto"/>
        <w:rPr>
          <w:rFonts w:cs="Arial"/>
          <w:szCs w:val="24"/>
        </w:rPr>
      </w:pPr>
      <w:r>
        <w:rPr>
          <w:rFonts w:cs="Arial"/>
          <w:szCs w:val="24"/>
        </w:rPr>
        <w:t>Part 3</w:t>
      </w:r>
      <w:r w:rsidR="00AB3D3F">
        <w:rPr>
          <w:rFonts w:cs="Arial"/>
          <w:szCs w:val="24"/>
        </w:rPr>
        <w:t>,</w:t>
      </w:r>
      <w:r>
        <w:rPr>
          <w:rFonts w:cs="Arial"/>
          <w:szCs w:val="24"/>
        </w:rPr>
        <w:t xml:space="preserve"> </w:t>
      </w:r>
      <w:r w:rsidR="00E65EC1" w:rsidRPr="00B63905">
        <w:rPr>
          <w:lang w:eastAsia="en-GB"/>
        </w:rPr>
        <w:t>section 1</w:t>
      </w:r>
      <w:r w:rsidR="0007676B">
        <w:rPr>
          <w:lang w:eastAsia="en-GB"/>
        </w:rPr>
        <w:t>8</w:t>
      </w:r>
      <w:r w:rsidR="00E65EC1">
        <w:rPr>
          <w:lang w:eastAsia="en-GB"/>
        </w:rPr>
        <w:t xml:space="preserve"> of the Act </w:t>
      </w:r>
      <w:r w:rsidR="00AB3D3F">
        <w:rPr>
          <w:lang w:eastAsia="en-GB"/>
        </w:rPr>
        <w:t>places a duty on</w:t>
      </w:r>
      <w:r w:rsidR="00AF6870">
        <w:rPr>
          <w:lang w:eastAsia="en-GB"/>
        </w:rPr>
        <w:t xml:space="preserve"> </w:t>
      </w:r>
      <w:r w:rsidR="00AB3D3F">
        <w:rPr>
          <w:lang w:eastAsia="en-GB"/>
        </w:rPr>
        <w:t xml:space="preserve">public authorities </w:t>
      </w:r>
      <w:r w:rsidR="00AF6870">
        <w:rPr>
          <w:lang w:eastAsia="en-GB"/>
        </w:rPr>
        <w:t>listed</w:t>
      </w:r>
      <w:r w:rsidR="004C4F79">
        <w:rPr>
          <w:lang w:eastAsia="en-GB"/>
        </w:rPr>
        <w:t xml:space="preserve"> </w:t>
      </w:r>
      <w:r w:rsidR="00AB3D3F">
        <w:rPr>
          <w:lang w:eastAsia="en-GB"/>
        </w:rPr>
        <w:t>in section 1</w:t>
      </w:r>
      <w:r w:rsidR="0007676B">
        <w:rPr>
          <w:lang w:eastAsia="en-GB"/>
        </w:rPr>
        <w:t>9</w:t>
      </w:r>
      <w:r w:rsidR="00AB3D3F">
        <w:rPr>
          <w:lang w:eastAsia="en-GB"/>
        </w:rPr>
        <w:t xml:space="preserve"> to </w:t>
      </w:r>
      <w:r w:rsidR="004C4F79">
        <w:t xml:space="preserve">report on </w:t>
      </w:r>
      <w:r w:rsidR="00AB3D3F">
        <w:t xml:space="preserve">the actions taken and planned to comply with the </w:t>
      </w:r>
      <w:r w:rsidR="000863B8">
        <w:t xml:space="preserve">Part 2, </w:t>
      </w:r>
      <w:r w:rsidR="00AB3D3F">
        <w:t>section 6 duty</w:t>
      </w:r>
      <w:r w:rsidR="002E2669">
        <w:t>,</w:t>
      </w:r>
      <w:r w:rsidR="00AB3D3F">
        <w:t xml:space="preserve"> and the actions taken and planned to </w:t>
      </w:r>
      <w:r w:rsidR="004C4F79">
        <w:t xml:space="preserve">give </w:t>
      </w:r>
      <w:r w:rsidR="00AB3D3F">
        <w:t xml:space="preserve">further </w:t>
      </w:r>
      <w:r w:rsidR="004C4F79">
        <w:t>effect to children’s rights. This is an important mechanism for respecting, protecting and fulfilling children’s rights.</w:t>
      </w:r>
    </w:p>
    <w:p w14:paraId="206CCD0F" w14:textId="582BD521" w:rsidR="00107769" w:rsidRDefault="00107769" w:rsidP="00F15B5E">
      <w:pPr>
        <w:autoSpaceDE w:val="0"/>
        <w:autoSpaceDN w:val="0"/>
        <w:adjustRightInd w:val="0"/>
        <w:spacing w:line="240" w:lineRule="auto"/>
        <w:rPr>
          <w:rFonts w:cs="Arial"/>
          <w:szCs w:val="24"/>
          <w:lang w:eastAsia="en-GB"/>
        </w:rPr>
      </w:pPr>
    </w:p>
    <w:p w14:paraId="6857FAD4" w14:textId="4E6D622C" w:rsidR="00107769" w:rsidRDefault="00107769" w:rsidP="00F15B5E">
      <w:pPr>
        <w:autoSpaceDE w:val="0"/>
        <w:autoSpaceDN w:val="0"/>
        <w:adjustRightInd w:val="0"/>
        <w:spacing w:line="240" w:lineRule="auto"/>
        <w:rPr>
          <w:rFonts w:cs="Arial"/>
          <w:szCs w:val="24"/>
          <w:lang w:eastAsia="en-GB"/>
        </w:rPr>
      </w:pPr>
      <w:r>
        <w:rPr>
          <w:rFonts w:cs="Arial"/>
          <w:szCs w:val="24"/>
        </w:rPr>
        <w:t xml:space="preserve">This guidance </w:t>
      </w:r>
      <w:r w:rsidR="00AF6870">
        <w:t>includes</w:t>
      </w:r>
      <w:r w:rsidR="00AF54FD">
        <w:t xml:space="preserve"> an</w:t>
      </w:r>
      <w:r w:rsidR="00AF6870">
        <w:t xml:space="preserve"> </w:t>
      </w:r>
      <w:r w:rsidR="00615CE6">
        <w:t xml:space="preserve">explanation of the duty in the </w:t>
      </w:r>
      <w:r w:rsidR="0007676B">
        <w:t xml:space="preserve">Act </w:t>
      </w:r>
      <w:r w:rsidR="00615CE6">
        <w:t xml:space="preserve">and annexes with </w:t>
      </w:r>
      <w:r w:rsidR="00AF6870">
        <w:t>suggested reporting formats, information on inclusive communication and on producing child</w:t>
      </w:r>
      <w:r w:rsidR="00690FCF">
        <w:t xml:space="preserve"> </w:t>
      </w:r>
      <w:r w:rsidR="00AF6870">
        <w:t>friendly reports</w:t>
      </w:r>
      <w:r w:rsidR="00615CE6">
        <w:t>. It</w:t>
      </w:r>
      <w:r w:rsidR="00AF6870">
        <w:t xml:space="preserve"> is </w:t>
      </w:r>
      <w:r>
        <w:rPr>
          <w:rFonts w:cs="Arial"/>
          <w:szCs w:val="24"/>
        </w:rPr>
        <w:t xml:space="preserve">aimed at those with responsibilities within </w:t>
      </w:r>
      <w:r w:rsidR="00AF6870">
        <w:rPr>
          <w:rFonts w:cs="Arial"/>
          <w:szCs w:val="24"/>
        </w:rPr>
        <w:t xml:space="preserve">listed </w:t>
      </w:r>
      <w:r>
        <w:rPr>
          <w:rFonts w:cs="Arial"/>
          <w:szCs w:val="24"/>
        </w:rPr>
        <w:t xml:space="preserve">public authorities for implementing and delivering on the provisions of the Act. </w:t>
      </w:r>
    </w:p>
    <w:p w14:paraId="5822F0B4" w14:textId="77777777" w:rsidR="005253E6" w:rsidRDefault="004C4F79">
      <w:pPr>
        <w:spacing w:line="240" w:lineRule="auto"/>
        <w:rPr>
          <w:rFonts w:cs="Arial"/>
          <w:szCs w:val="24"/>
        </w:rPr>
      </w:pPr>
      <w:r>
        <w:rPr>
          <w:rFonts w:cs="Arial"/>
          <w:szCs w:val="24"/>
        </w:rPr>
        <w:t xml:space="preserve"> </w:t>
      </w:r>
    </w:p>
    <w:p w14:paraId="2D1E5628" w14:textId="77777777" w:rsidR="00B55B4C" w:rsidRDefault="00B55B4C" w:rsidP="0043022E">
      <w:pPr>
        <w:spacing w:line="240" w:lineRule="auto"/>
        <w:jc w:val="left"/>
        <w:rPr>
          <w:rFonts w:cs="Arial"/>
          <w:b/>
          <w:szCs w:val="24"/>
        </w:rPr>
      </w:pPr>
    </w:p>
    <w:p w14:paraId="4F791C08" w14:textId="12499D25" w:rsidR="0043022E" w:rsidRDefault="0043022E" w:rsidP="0043022E">
      <w:pPr>
        <w:spacing w:line="240" w:lineRule="auto"/>
        <w:jc w:val="left"/>
        <w:rPr>
          <w:rFonts w:cs="Arial"/>
          <w:b/>
          <w:szCs w:val="24"/>
        </w:rPr>
      </w:pPr>
      <w:r>
        <w:rPr>
          <w:rFonts w:cs="Arial"/>
          <w:b/>
          <w:szCs w:val="24"/>
        </w:rPr>
        <w:t>CONSULTATION PROCESS</w:t>
      </w:r>
    </w:p>
    <w:p w14:paraId="7435354C" w14:textId="77777777" w:rsidR="0043022E" w:rsidRDefault="0043022E" w:rsidP="0043022E">
      <w:pPr>
        <w:spacing w:line="240" w:lineRule="auto"/>
        <w:jc w:val="left"/>
        <w:rPr>
          <w:rFonts w:cs="Arial"/>
          <w:b/>
          <w:szCs w:val="24"/>
        </w:rPr>
      </w:pPr>
    </w:p>
    <w:p w14:paraId="384A8F02" w14:textId="77777777" w:rsidR="0043022E" w:rsidRDefault="0043022E" w:rsidP="0043022E">
      <w:pPr>
        <w:spacing w:line="240" w:lineRule="auto"/>
        <w:jc w:val="left"/>
        <w:rPr>
          <w:rFonts w:cs="Arial"/>
          <w:b/>
          <w:szCs w:val="24"/>
        </w:rPr>
      </w:pPr>
      <w:r>
        <w:rPr>
          <w:rFonts w:cs="Arial"/>
          <w:b/>
          <w:szCs w:val="24"/>
        </w:rPr>
        <w:t>Responding to the Consultation</w:t>
      </w:r>
    </w:p>
    <w:p w14:paraId="1F5D16DF" w14:textId="0248B021" w:rsidR="00C67D9D" w:rsidRDefault="0043022E" w:rsidP="0043022E">
      <w:pPr>
        <w:shd w:val="clear" w:color="auto" w:fill="FFFFFF"/>
        <w:spacing w:before="100" w:beforeAutospacing="1" w:after="240" w:line="240" w:lineRule="auto"/>
        <w:rPr>
          <w:rFonts w:cs="Arial"/>
          <w:color w:val="000000"/>
          <w:szCs w:val="24"/>
          <w:lang w:eastAsia="en-GB"/>
        </w:rPr>
      </w:pPr>
      <w:r>
        <w:rPr>
          <w:rFonts w:cs="Arial"/>
          <w:color w:val="000000"/>
          <w:szCs w:val="24"/>
          <w:lang w:eastAsia="en-GB"/>
        </w:rPr>
        <w:t>The consultation will run fo</w:t>
      </w:r>
      <w:r w:rsidR="00E65EC1">
        <w:rPr>
          <w:rFonts w:cs="Arial"/>
          <w:color w:val="000000"/>
          <w:szCs w:val="24"/>
          <w:lang w:eastAsia="en-GB"/>
        </w:rPr>
        <w:t xml:space="preserve">r </w:t>
      </w:r>
      <w:r w:rsidR="005806BB">
        <w:rPr>
          <w:rFonts w:cs="Arial"/>
          <w:color w:val="000000"/>
          <w:szCs w:val="24"/>
          <w:lang w:eastAsia="en-GB"/>
        </w:rPr>
        <w:t>12</w:t>
      </w:r>
      <w:r w:rsidR="00903D86">
        <w:rPr>
          <w:rFonts w:cs="Arial"/>
          <w:color w:val="000000"/>
          <w:szCs w:val="24"/>
          <w:lang w:eastAsia="en-GB"/>
        </w:rPr>
        <w:t xml:space="preserve"> </w:t>
      </w:r>
      <w:r>
        <w:rPr>
          <w:rFonts w:cs="Arial"/>
          <w:color w:val="000000"/>
          <w:szCs w:val="24"/>
          <w:lang w:eastAsia="en-GB"/>
        </w:rPr>
        <w:t xml:space="preserve">weeks. We are inviting written responses to this consultation before or </w:t>
      </w:r>
      <w:r w:rsidR="002E2669">
        <w:rPr>
          <w:rFonts w:cs="Arial"/>
          <w:color w:val="000000"/>
          <w:szCs w:val="24"/>
          <w:lang w:eastAsia="en-GB"/>
        </w:rPr>
        <w:t>by</w:t>
      </w:r>
      <w:r>
        <w:rPr>
          <w:rFonts w:cs="Arial"/>
          <w:color w:val="000000"/>
          <w:szCs w:val="24"/>
          <w:lang w:eastAsia="en-GB"/>
        </w:rPr>
        <w:t xml:space="preserve"> </w:t>
      </w:r>
      <w:r w:rsidR="00B56C2E">
        <w:rPr>
          <w:rFonts w:cs="Arial"/>
          <w:color w:val="000000"/>
          <w:szCs w:val="24"/>
          <w:lang w:eastAsia="en-GB"/>
        </w:rPr>
        <w:t>16 May 2024</w:t>
      </w:r>
      <w:r w:rsidR="008529E1">
        <w:rPr>
          <w:rFonts w:cs="Arial"/>
          <w:color w:val="000000"/>
          <w:szCs w:val="24"/>
          <w:lang w:eastAsia="en-GB"/>
        </w:rPr>
        <w:t>.</w:t>
      </w:r>
      <w:r w:rsidR="003D1D21">
        <w:rPr>
          <w:rFonts w:cs="Arial"/>
          <w:color w:val="000000"/>
          <w:szCs w:val="24"/>
          <w:lang w:eastAsia="en-GB"/>
        </w:rPr>
        <w:t xml:space="preserve"> </w:t>
      </w:r>
      <w:r w:rsidR="00690FCF">
        <w:rPr>
          <w:rFonts w:cs="Arial"/>
          <w:color w:val="000000"/>
          <w:szCs w:val="24"/>
          <w:lang w:eastAsia="en-GB"/>
        </w:rPr>
        <w:t>Responses are invited</w:t>
      </w:r>
      <w:r w:rsidR="003D1D21" w:rsidRPr="003D1D21">
        <w:rPr>
          <w:rFonts w:cs="Arial"/>
          <w:color w:val="000000"/>
          <w:szCs w:val="24"/>
          <w:lang w:eastAsia="en-GB"/>
        </w:rPr>
        <w:t xml:space="preserve"> from organisations and individuals</w:t>
      </w:r>
      <w:r w:rsidR="003D1D21">
        <w:rPr>
          <w:rFonts w:cs="Arial"/>
          <w:color w:val="000000"/>
          <w:szCs w:val="24"/>
          <w:lang w:eastAsia="en-GB"/>
        </w:rPr>
        <w:t>,</w:t>
      </w:r>
      <w:r w:rsidR="003D1D21" w:rsidRPr="003D1D21">
        <w:rPr>
          <w:rFonts w:cs="Arial"/>
          <w:color w:val="000000"/>
          <w:szCs w:val="24"/>
          <w:lang w:eastAsia="en-GB"/>
        </w:rPr>
        <w:t xml:space="preserve"> where the response is not in relation to an org</w:t>
      </w:r>
      <w:r w:rsidR="003D1D21">
        <w:rPr>
          <w:rFonts w:cs="Arial"/>
          <w:color w:val="000000"/>
          <w:szCs w:val="24"/>
          <w:lang w:eastAsia="en-GB"/>
        </w:rPr>
        <w:t>anisation. Relevant organisations and networks may wish to respond jointly.</w:t>
      </w:r>
    </w:p>
    <w:p w14:paraId="51432601" w14:textId="65C3F00A" w:rsidR="0043022E" w:rsidRDefault="0043022E" w:rsidP="0043022E">
      <w:pPr>
        <w:shd w:val="clear" w:color="auto" w:fill="FFFFFF"/>
        <w:spacing w:before="100" w:beforeAutospacing="1" w:after="240" w:line="240" w:lineRule="auto"/>
        <w:rPr>
          <w:rFonts w:cs="Arial"/>
          <w:color w:val="000000"/>
          <w:szCs w:val="24"/>
          <w:lang w:eastAsia="en-GB"/>
        </w:rPr>
      </w:pPr>
      <w:r>
        <w:rPr>
          <w:rFonts w:cs="Arial"/>
          <w:color w:val="000000"/>
          <w:szCs w:val="24"/>
          <w:lang w:eastAsia="en-GB"/>
        </w:rPr>
        <w:t>There are a number of consultation questions on which the Scottish Government would welcome views. Please do not</w:t>
      </w:r>
      <w:r w:rsidR="00AF6870">
        <w:rPr>
          <w:rFonts w:cs="Arial"/>
          <w:color w:val="000000"/>
          <w:szCs w:val="24"/>
          <w:lang w:eastAsia="en-GB"/>
        </w:rPr>
        <w:t xml:space="preserve"> feel obliged to answer all </w:t>
      </w:r>
      <w:r>
        <w:rPr>
          <w:rFonts w:cs="Arial"/>
          <w:color w:val="000000"/>
          <w:szCs w:val="24"/>
          <w:lang w:eastAsia="en-GB"/>
        </w:rPr>
        <w:t>questions. Equally, if you would like to comment o</w:t>
      </w:r>
      <w:r w:rsidR="00280184">
        <w:rPr>
          <w:rFonts w:cs="Arial"/>
          <w:color w:val="000000"/>
          <w:szCs w:val="24"/>
          <w:lang w:eastAsia="en-GB"/>
        </w:rPr>
        <w:t xml:space="preserve">n any other aspects of the </w:t>
      </w:r>
      <w:r w:rsidR="00690FCF">
        <w:rPr>
          <w:rFonts w:cs="Arial"/>
          <w:color w:val="000000"/>
          <w:szCs w:val="24"/>
          <w:lang w:eastAsia="en-GB"/>
        </w:rPr>
        <w:t xml:space="preserve">draft </w:t>
      </w:r>
      <w:r>
        <w:rPr>
          <w:rFonts w:cs="Arial"/>
          <w:color w:val="000000"/>
          <w:szCs w:val="24"/>
          <w:lang w:eastAsia="en-GB"/>
        </w:rPr>
        <w:t xml:space="preserve">statutory guidance the Scottish Government would welcome your views. </w:t>
      </w:r>
    </w:p>
    <w:p w14:paraId="1815C8A9" w14:textId="77777777" w:rsidR="0043022E" w:rsidRPr="00514445" w:rsidRDefault="00C67D9D" w:rsidP="0043022E">
      <w:pPr>
        <w:shd w:val="clear" w:color="auto" w:fill="FFFFFF"/>
        <w:spacing w:before="100" w:beforeAutospacing="1" w:after="240" w:line="240" w:lineRule="auto"/>
        <w:rPr>
          <w:rFonts w:cs="Arial"/>
          <w:color w:val="000000"/>
          <w:szCs w:val="24"/>
          <w:lang w:eastAsia="en-GB"/>
        </w:rPr>
      </w:pPr>
      <w:r w:rsidRPr="00514445">
        <w:rPr>
          <w:rFonts w:cs="Arial"/>
          <w:color w:val="000000"/>
          <w:szCs w:val="24"/>
          <w:lang w:eastAsia="en-GB"/>
        </w:rPr>
        <w:lastRenderedPageBreak/>
        <w:t xml:space="preserve">We would be grateful for responses to be completed electronically via Citizen Space, where possible. This will aid handling and analysis of all responses. </w:t>
      </w:r>
    </w:p>
    <w:p w14:paraId="39350E02" w14:textId="18D637DA" w:rsidR="00AF6870" w:rsidRPr="00AB3D3F" w:rsidRDefault="00C67D9D" w:rsidP="0043022E">
      <w:pPr>
        <w:shd w:val="clear" w:color="auto" w:fill="FFFFFF"/>
        <w:spacing w:before="100" w:beforeAutospacing="1" w:after="240" w:line="240" w:lineRule="auto"/>
        <w:rPr>
          <w:rFonts w:cs="Arial"/>
          <w:color w:val="000000"/>
          <w:szCs w:val="24"/>
          <w:lang w:eastAsia="en-GB"/>
        </w:rPr>
      </w:pPr>
      <w:r w:rsidRPr="00514445">
        <w:rPr>
          <w:rFonts w:cs="Arial"/>
          <w:color w:val="000000"/>
          <w:szCs w:val="24"/>
          <w:lang w:eastAsia="en-GB"/>
        </w:rPr>
        <w:t>If this is not possible, we would be grateful if you could use the separate consultation questionnaire</w:t>
      </w:r>
      <w:r w:rsidR="00AF6870">
        <w:rPr>
          <w:rFonts w:cs="Arial"/>
          <w:color w:val="000000"/>
          <w:szCs w:val="24"/>
          <w:lang w:eastAsia="en-GB"/>
        </w:rPr>
        <w:t xml:space="preserve"> (Annex A)</w:t>
      </w:r>
      <w:r w:rsidRPr="00514445">
        <w:rPr>
          <w:rFonts w:cs="Arial"/>
          <w:color w:val="000000"/>
          <w:szCs w:val="24"/>
          <w:lang w:eastAsia="en-GB"/>
        </w:rPr>
        <w:t xml:space="preserve"> provided and submit</w:t>
      </w:r>
      <w:r w:rsidR="00AF6870">
        <w:rPr>
          <w:rFonts w:cs="Arial"/>
          <w:color w:val="000000"/>
          <w:szCs w:val="24"/>
          <w:lang w:eastAsia="en-GB"/>
        </w:rPr>
        <w:t xml:space="preserve"> your answers</w:t>
      </w:r>
      <w:r w:rsidRPr="00514445">
        <w:rPr>
          <w:rFonts w:cs="Arial"/>
          <w:color w:val="000000"/>
          <w:szCs w:val="24"/>
          <w:lang w:eastAsia="en-GB"/>
        </w:rPr>
        <w:t xml:space="preserve"> via email. </w:t>
      </w:r>
      <w:r w:rsidR="0043022E" w:rsidRPr="00514445">
        <w:rPr>
          <w:rFonts w:cs="Arial"/>
          <w:color w:val="000000"/>
          <w:szCs w:val="24"/>
          <w:lang w:eastAsia="en-GB"/>
        </w:rPr>
        <w:t xml:space="preserve">Please send your </w:t>
      </w:r>
      <w:r w:rsidR="00AF6870">
        <w:rPr>
          <w:rFonts w:cs="Arial"/>
          <w:color w:val="000000"/>
          <w:szCs w:val="24"/>
          <w:lang w:eastAsia="en-GB"/>
        </w:rPr>
        <w:t>responses with the completed Res</w:t>
      </w:r>
      <w:r w:rsidR="0043022E" w:rsidRPr="00514445">
        <w:rPr>
          <w:rFonts w:cs="Arial"/>
          <w:color w:val="000000"/>
          <w:szCs w:val="24"/>
          <w:lang w:eastAsia="en-GB"/>
        </w:rPr>
        <w:t xml:space="preserve">pondent Information Form to: </w:t>
      </w:r>
      <w:hyperlink r:id="rId10" w:history="1">
        <w:r w:rsidR="00BD78D2" w:rsidRPr="0091681B">
          <w:rPr>
            <w:rStyle w:val="Hyperlink"/>
          </w:rPr>
          <w:t>uncrcstatutoryguidanceconsultation@gov.scot</w:t>
        </w:r>
      </w:hyperlink>
      <w:r w:rsidR="00BD78D2">
        <w:t xml:space="preserve"> </w:t>
      </w:r>
    </w:p>
    <w:p w14:paraId="661A51D8" w14:textId="19DCD0C1" w:rsidR="0043022E" w:rsidRPr="00AF6870" w:rsidRDefault="0043022E" w:rsidP="0043022E">
      <w:pPr>
        <w:shd w:val="clear" w:color="auto" w:fill="FFFFFF"/>
        <w:spacing w:before="100" w:beforeAutospacing="1" w:after="240" w:line="240" w:lineRule="auto"/>
      </w:pPr>
      <w:r>
        <w:rPr>
          <w:rFonts w:cs="Arial"/>
          <w:color w:val="000000"/>
          <w:szCs w:val="24"/>
          <w:lang w:eastAsia="en-GB"/>
        </w:rPr>
        <w:t xml:space="preserve">This consultation, and all other Scottish Government consultation exercises, can be viewed online on the consultation web pages of the Scottish Government website at: </w:t>
      </w:r>
      <w:hyperlink r:id="rId11" w:history="1">
        <w:r w:rsidR="002D04D3" w:rsidRPr="0091681B">
          <w:rPr>
            <w:rStyle w:val="Hyperlink"/>
          </w:rPr>
          <w:t>https://consult.gov.scot/</w:t>
        </w:r>
      </w:hyperlink>
      <w:r w:rsidR="002D04D3">
        <w:t xml:space="preserve"> </w:t>
      </w:r>
    </w:p>
    <w:p w14:paraId="2E7B2FBD" w14:textId="77777777" w:rsidR="0043022E" w:rsidRDefault="0043022E" w:rsidP="0043022E">
      <w:pPr>
        <w:spacing w:line="240" w:lineRule="auto"/>
        <w:jc w:val="right"/>
        <w:rPr>
          <w:b/>
        </w:rPr>
      </w:pPr>
      <w:r>
        <w:rPr>
          <w:b/>
        </w:rPr>
        <w:br w:type="page"/>
      </w:r>
      <w:r w:rsidR="00280184">
        <w:rPr>
          <w:b/>
        </w:rPr>
        <w:lastRenderedPageBreak/>
        <w:t>ANNEX A</w:t>
      </w:r>
    </w:p>
    <w:p w14:paraId="46E3395B" w14:textId="77777777" w:rsidR="0043022E" w:rsidRDefault="0043022E" w:rsidP="0043022E">
      <w:pPr>
        <w:spacing w:line="240" w:lineRule="auto"/>
        <w:jc w:val="left"/>
        <w:rPr>
          <w:b/>
        </w:rPr>
      </w:pPr>
      <w:r>
        <w:rPr>
          <w:b/>
        </w:rPr>
        <w:t>CONSULTATION QUESTIONS</w:t>
      </w:r>
    </w:p>
    <w:p w14:paraId="161C2DC8" w14:textId="77777777" w:rsidR="0043022E" w:rsidRDefault="0043022E" w:rsidP="0043022E">
      <w:pPr>
        <w:spacing w:line="240" w:lineRule="auto"/>
        <w:jc w:val="left"/>
        <w:rPr>
          <w:b/>
        </w:rPr>
      </w:pPr>
    </w:p>
    <w:p w14:paraId="18F451C6" w14:textId="77777777" w:rsidR="0012282F" w:rsidRPr="00F144C9" w:rsidRDefault="0012282F" w:rsidP="0012282F">
      <w:pPr>
        <w:pStyle w:val="PlainText"/>
        <w:rPr>
          <w:rFonts w:cs="Arial"/>
          <w:b/>
          <w:szCs w:val="24"/>
        </w:rPr>
      </w:pPr>
      <w:r w:rsidRPr="00F144C9">
        <w:rPr>
          <w:rFonts w:cs="Arial"/>
          <w:b/>
          <w:szCs w:val="24"/>
        </w:rPr>
        <w:t>Part 2 Guidance</w:t>
      </w:r>
    </w:p>
    <w:p w14:paraId="6FF1E701" w14:textId="77777777" w:rsidR="0012282F" w:rsidRPr="00F144C9" w:rsidRDefault="0012282F" w:rsidP="0012282F">
      <w:pPr>
        <w:pStyle w:val="PlainText"/>
        <w:rPr>
          <w:rFonts w:cs="Arial"/>
          <w:szCs w:val="24"/>
          <w:highlight w:val="yellow"/>
        </w:rPr>
      </w:pPr>
    </w:p>
    <w:p w14:paraId="2E37F58B" w14:textId="77777777" w:rsidR="0012282F" w:rsidRPr="00F144C9" w:rsidRDefault="0012282F" w:rsidP="0012282F">
      <w:pPr>
        <w:pStyle w:val="PlainText"/>
        <w:rPr>
          <w:rFonts w:cs="Arial"/>
          <w:szCs w:val="24"/>
        </w:rPr>
      </w:pPr>
      <w:r w:rsidRPr="00F144C9">
        <w:rPr>
          <w:rFonts w:cs="Arial"/>
          <w:szCs w:val="24"/>
        </w:rPr>
        <w:t>The following consultation questions 1-14, relate to the draft statutory guidance on Part 2 of the UNCRC Act. This is particularly relevant to public authorities.</w:t>
      </w:r>
    </w:p>
    <w:p w14:paraId="33D3A9CB" w14:textId="77777777" w:rsidR="0012282F" w:rsidRPr="00F144C9" w:rsidRDefault="0012282F" w:rsidP="0012282F">
      <w:pPr>
        <w:pStyle w:val="PlainText"/>
        <w:rPr>
          <w:rFonts w:cs="Arial"/>
          <w:szCs w:val="24"/>
        </w:rPr>
      </w:pPr>
    </w:p>
    <w:p w14:paraId="5A25917C" w14:textId="77777777" w:rsidR="0012282F" w:rsidRPr="00F144C9" w:rsidRDefault="0012282F" w:rsidP="0012282F">
      <w:pPr>
        <w:pStyle w:val="PlainText"/>
        <w:numPr>
          <w:ilvl w:val="0"/>
          <w:numId w:val="20"/>
        </w:numPr>
        <w:jc w:val="both"/>
        <w:rPr>
          <w:rFonts w:cs="Arial"/>
          <w:szCs w:val="24"/>
        </w:rPr>
      </w:pPr>
      <w:r w:rsidRPr="00F144C9">
        <w:rPr>
          <w:rFonts w:cs="Arial"/>
          <w:szCs w:val="24"/>
        </w:rPr>
        <w:t xml:space="preserve">I have read the draft statutory guidance on Part 2 of the UNCRC Act </w:t>
      </w:r>
    </w:p>
    <w:p w14:paraId="6E4B197C" w14:textId="77777777" w:rsidR="0012282F" w:rsidRPr="00F144C9" w:rsidRDefault="0012282F" w:rsidP="0012282F">
      <w:pPr>
        <w:pStyle w:val="PlainText"/>
        <w:rPr>
          <w:rFonts w:cs="Arial"/>
          <w:szCs w:val="24"/>
        </w:rPr>
      </w:pPr>
    </w:p>
    <w:p w14:paraId="521DA946" w14:textId="6F6996C6" w:rsidR="0012282F" w:rsidRPr="00F144C9" w:rsidRDefault="00D23D36" w:rsidP="00D23D36">
      <w:pPr>
        <w:pStyle w:val="PlainText"/>
        <w:ind w:left="720"/>
        <w:rPr>
          <w:rFonts w:cs="Arial"/>
          <w:szCs w:val="24"/>
        </w:rPr>
      </w:pPr>
      <w:sdt>
        <w:sdtPr>
          <w:rPr>
            <w:rFonts w:cs="Arial"/>
            <w:szCs w:val="24"/>
          </w:rPr>
          <w:id w:val="15411640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0012282F" w:rsidRPr="00F144C9">
        <w:rPr>
          <w:rFonts w:cs="Arial"/>
          <w:szCs w:val="24"/>
        </w:rPr>
        <w:t xml:space="preserve">Yes </w:t>
      </w:r>
    </w:p>
    <w:p w14:paraId="56F3CCC0" w14:textId="2AC242EF" w:rsidR="0012282F" w:rsidRDefault="00D23D36" w:rsidP="00D23D36">
      <w:pPr>
        <w:pStyle w:val="PlainText"/>
        <w:ind w:left="720"/>
        <w:rPr>
          <w:rFonts w:cs="Arial"/>
          <w:szCs w:val="24"/>
        </w:rPr>
      </w:pPr>
      <w:sdt>
        <w:sdtPr>
          <w:rPr>
            <w:rFonts w:cs="Arial"/>
            <w:szCs w:val="24"/>
          </w:rPr>
          <w:id w:val="210614618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0012282F" w:rsidRPr="00F144C9">
        <w:rPr>
          <w:rFonts w:cs="Arial"/>
          <w:szCs w:val="24"/>
        </w:rPr>
        <w:t>No</w:t>
      </w:r>
    </w:p>
    <w:p w14:paraId="7BF1D841" w14:textId="77777777" w:rsidR="00D23D36" w:rsidRPr="00F144C9" w:rsidRDefault="00D23D36" w:rsidP="0012282F">
      <w:pPr>
        <w:pStyle w:val="PlainText"/>
        <w:rPr>
          <w:rFonts w:cs="Arial"/>
          <w:szCs w:val="24"/>
        </w:rPr>
      </w:pPr>
    </w:p>
    <w:p w14:paraId="6202D849" w14:textId="77777777" w:rsidR="0012282F" w:rsidRPr="00F144C9" w:rsidRDefault="0012282F" w:rsidP="0012282F">
      <w:pPr>
        <w:pStyle w:val="PlainText"/>
        <w:ind w:left="720"/>
        <w:rPr>
          <w:rFonts w:cs="Arial"/>
          <w:szCs w:val="24"/>
        </w:rPr>
      </w:pPr>
    </w:p>
    <w:p w14:paraId="22304FFF" w14:textId="77777777" w:rsidR="0012282F" w:rsidRPr="00F144C9" w:rsidRDefault="0012282F" w:rsidP="0012282F">
      <w:pPr>
        <w:pStyle w:val="PlainText"/>
        <w:numPr>
          <w:ilvl w:val="0"/>
          <w:numId w:val="20"/>
        </w:numPr>
        <w:jc w:val="both"/>
        <w:rPr>
          <w:rFonts w:cs="Arial"/>
          <w:szCs w:val="24"/>
        </w:rPr>
      </w:pPr>
      <w:r w:rsidRPr="00F144C9">
        <w:rPr>
          <w:rFonts w:cs="Arial"/>
          <w:szCs w:val="24"/>
        </w:rPr>
        <w:t>Section 3,  ’</w:t>
      </w:r>
      <w:r w:rsidRPr="00F144C9">
        <w:rPr>
          <w:rFonts w:cs="Arial"/>
          <w:b/>
          <w:bCs/>
          <w:szCs w:val="24"/>
        </w:rPr>
        <w:t xml:space="preserve">Background and introduction to the UNCRC Act’, </w:t>
      </w:r>
      <w:r w:rsidRPr="00F144C9">
        <w:rPr>
          <w:rFonts w:cs="Arial"/>
          <w:szCs w:val="24"/>
        </w:rPr>
        <w:t xml:space="preserve">provides sufficient information on the UNCRC and the background to incorporation. </w:t>
      </w:r>
    </w:p>
    <w:p w14:paraId="3279BD8F" w14:textId="77777777" w:rsidR="0012282F" w:rsidRPr="00F144C9" w:rsidRDefault="0012282F" w:rsidP="0012282F">
      <w:pPr>
        <w:pStyle w:val="PlainText"/>
        <w:ind w:left="720"/>
        <w:rPr>
          <w:rFonts w:cs="Arial"/>
          <w:szCs w:val="24"/>
        </w:rPr>
      </w:pPr>
    </w:p>
    <w:p w14:paraId="0369DB37" w14:textId="04BE2075" w:rsidR="0012282F" w:rsidRPr="00D23D36" w:rsidRDefault="00D23D36" w:rsidP="00D23D36">
      <w:pPr>
        <w:ind w:left="720"/>
        <w:rPr>
          <w:lang w:val="en"/>
        </w:rPr>
      </w:pPr>
      <w:sdt>
        <w:sdtPr>
          <w:rPr>
            <w:lang w:val="en"/>
          </w:rPr>
          <w:id w:val="-197635789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0012282F" w:rsidRPr="00D23D36">
        <w:rPr>
          <w:lang w:val="en"/>
        </w:rPr>
        <w:t>Strongly agree</w:t>
      </w:r>
    </w:p>
    <w:p w14:paraId="0F0B6C4E" w14:textId="79D73540" w:rsidR="0012282F" w:rsidRPr="00D23D36" w:rsidRDefault="00D23D36" w:rsidP="00D23D36">
      <w:pPr>
        <w:ind w:left="720"/>
        <w:rPr>
          <w:lang w:val="en"/>
        </w:rPr>
      </w:pPr>
      <w:sdt>
        <w:sdtPr>
          <w:rPr>
            <w:lang w:val="en"/>
          </w:rPr>
          <w:id w:val="100093989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0012282F" w:rsidRPr="00D23D36">
        <w:rPr>
          <w:lang w:val="en"/>
        </w:rPr>
        <w:t>Agree</w:t>
      </w:r>
    </w:p>
    <w:p w14:paraId="44469CF7" w14:textId="7EA00916" w:rsidR="0012282F" w:rsidRPr="00D23D36" w:rsidRDefault="00D23D36" w:rsidP="00D23D36">
      <w:pPr>
        <w:ind w:left="720"/>
        <w:rPr>
          <w:lang w:val="en"/>
        </w:rPr>
      </w:pPr>
      <w:sdt>
        <w:sdtPr>
          <w:rPr>
            <w:lang w:val="en"/>
          </w:rPr>
          <w:id w:val="82015485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0012282F" w:rsidRPr="00D23D36">
        <w:rPr>
          <w:lang w:val="en"/>
        </w:rPr>
        <w:t>Neither agree nor disagree</w:t>
      </w:r>
    </w:p>
    <w:p w14:paraId="64008526" w14:textId="1A7D1D5A" w:rsidR="0012282F" w:rsidRPr="00D23D36" w:rsidRDefault="00D23D36" w:rsidP="00D23D36">
      <w:pPr>
        <w:ind w:left="720"/>
        <w:rPr>
          <w:lang w:val="en"/>
        </w:rPr>
      </w:pPr>
      <w:sdt>
        <w:sdtPr>
          <w:rPr>
            <w:lang w:val="en"/>
          </w:rPr>
          <w:id w:val="-1052227205"/>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0012282F" w:rsidRPr="00D23D36">
        <w:rPr>
          <w:lang w:val="en"/>
        </w:rPr>
        <w:t>Disagree</w:t>
      </w:r>
    </w:p>
    <w:p w14:paraId="0300DF58" w14:textId="1318A683" w:rsidR="0012282F" w:rsidRPr="00D23D36" w:rsidRDefault="00D23D36" w:rsidP="00D23D36">
      <w:pPr>
        <w:ind w:left="720"/>
        <w:rPr>
          <w:lang w:val="en"/>
        </w:rPr>
      </w:pPr>
      <w:sdt>
        <w:sdtPr>
          <w:rPr>
            <w:lang w:val="en"/>
          </w:rPr>
          <w:id w:val="-122150794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0012282F" w:rsidRPr="00D23D36">
        <w:rPr>
          <w:lang w:val="en"/>
        </w:rPr>
        <w:t>Strongly disagree</w:t>
      </w:r>
    </w:p>
    <w:p w14:paraId="5384F2F5" w14:textId="77777777" w:rsidR="0012282F" w:rsidRPr="00F144C9" w:rsidRDefault="0012282F" w:rsidP="0012282F">
      <w:pPr>
        <w:rPr>
          <w:rFonts w:cs="Arial"/>
          <w:szCs w:val="24"/>
          <w:lang w:val="en"/>
        </w:rPr>
      </w:pPr>
    </w:p>
    <w:p w14:paraId="2E697F7E" w14:textId="2EF43BBD" w:rsidR="0012282F" w:rsidRPr="00F144C9" w:rsidRDefault="0012282F" w:rsidP="0012282F">
      <w:pPr>
        <w:rPr>
          <w:rFonts w:cs="Arial"/>
          <w:szCs w:val="24"/>
          <w:lang w:val="en"/>
        </w:rPr>
      </w:pPr>
      <w:r w:rsidRPr="00F144C9">
        <w:rPr>
          <w:rFonts w:cs="Arial"/>
          <w:szCs w:val="24"/>
          <w:lang w:val="en"/>
        </w:rPr>
        <w:tab/>
      </w:r>
      <w:r w:rsidR="00D23D36" w:rsidRPr="00D23D36">
        <w:rPr>
          <w:rFonts w:cs="Arial"/>
          <w:szCs w:val="24"/>
          <w:lang w:val="en"/>
        </w:rPr>
        <w:t>Please give us your views</w:t>
      </w:r>
      <w:r w:rsidR="00D23D36">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113C2BB0" w14:textId="77777777" w:rsidTr="00D23D36">
        <w:tc>
          <w:tcPr>
            <w:tcW w:w="9016" w:type="dxa"/>
          </w:tcPr>
          <w:p w14:paraId="4E739A4D" w14:textId="77777777" w:rsidR="00D23D36" w:rsidRDefault="00D23D36" w:rsidP="0012282F">
            <w:pPr>
              <w:pStyle w:val="ListParagraph"/>
              <w:ind w:left="0"/>
              <w:rPr>
                <w:lang w:val="en"/>
              </w:rPr>
            </w:pPr>
          </w:p>
          <w:p w14:paraId="67D6EDC0" w14:textId="77777777" w:rsidR="00D23D36" w:rsidRDefault="00D23D36" w:rsidP="0012282F">
            <w:pPr>
              <w:pStyle w:val="ListParagraph"/>
              <w:ind w:left="0"/>
              <w:rPr>
                <w:lang w:val="en"/>
              </w:rPr>
            </w:pPr>
          </w:p>
          <w:p w14:paraId="33A2D055" w14:textId="77777777" w:rsidR="00D23D36" w:rsidRDefault="00D23D36" w:rsidP="0012282F">
            <w:pPr>
              <w:pStyle w:val="ListParagraph"/>
              <w:ind w:left="0"/>
              <w:rPr>
                <w:lang w:val="en"/>
              </w:rPr>
            </w:pPr>
          </w:p>
          <w:p w14:paraId="2C17C9CC" w14:textId="77777777" w:rsidR="00D23D36" w:rsidRDefault="00D23D36" w:rsidP="0012282F">
            <w:pPr>
              <w:pStyle w:val="ListParagraph"/>
              <w:ind w:left="0"/>
              <w:rPr>
                <w:lang w:val="en"/>
              </w:rPr>
            </w:pPr>
          </w:p>
          <w:p w14:paraId="038E9D7B" w14:textId="77777777" w:rsidR="00D23D36" w:rsidRDefault="00D23D36" w:rsidP="0012282F">
            <w:pPr>
              <w:pStyle w:val="ListParagraph"/>
              <w:ind w:left="0"/>
              <w:rPr>
                <w:lang w:val="en"/>
              </w:rPr>
            </w:pPr>
          </w:p>
        </w:tc>
      </w:tr>
    </w:tbl>
    <w:p w14:paraId="534604F7" w14:textId="77777777" w:rsidR="00D23D36" w:rsidRPr="00F144C9" w:rsidRDefault="00D23D36" w:rsidP="0012282F">
      <w:pPr>
        <w:pStyle w:val="ListParagraph"/>
        <w:ind w:left="1080"/>
        <w:rPr>
          <w:lang w:val="en"/>
        </w:rPr>
      </w:pPr>
    </w:p>
    <w:p w14:paraId="3DFF95FC" w14:textId="77777777" w:rsidR="0012282F" w:rsidRPr="00F144C9" w:rsidRDefault="0012282F" w:rsidP="0012282F">
      <w:pPr>
        <w:pStyle w:val="PlainText"/>
        <w:ind w:left="720"/>
        <w:rPr>
          <w:rFonts w:cs="Arial"/>
          <w:szCs w:val="24"/>
        </w:rPr>
      </w:pPr>
    </w:p>
    <w:p w14:paraId="1129CAD4" w14:textId="77777777" w:rsidR="0012282F" w:rsidRPr="00F144C9" w:rsidRDefault="0012282F" w:rsidP="0012282F">
      <w:pPr>
        <w:pStyle w:val="PlainText"/>
        <w:numPr>
          <w:ilvl w:val="0"/>
          <w:numId w:val="20"/>
        </w:numPr>
        <w:jc w:val="both"/>
        <w:rPr>
          <w:rFonts w:cs="Arial"/>
          <w:szCs w:val="24"/>
        </w:rPr>
      </w:pPr>
      <w:r w:rsidRPr="00F144C9">
        <w:rPr>
          <w:rFonts w:cs="Arial"/>
          <w:szCs w:val="24"/>
        </w:rPr>
        <w:t>Section 3.4, ‘</w:t>
      </w:r>
      <w:r w:rsidRPr="00F144C9">
        <w:rPr>
          <w:rFonts w:cs="Arial"/>
          <w:b/>
          <w:bCs/>
          <w:szCs w:val="24"/>
        </w:rPr>
        <w:t>Meaning of UNCRC requirements</w:t>
      </w:r>
      <w:r w:rsidRPr="00F144C9">
        <w:rPr>
          <w:rFonts w:cs="Arial"/>
          <w:szCs w:val="24"/>
        </w:rPr>
        <w:t>’, clearly articulates what is meant by this in relation to the section 6 duty.</w:t>
      </w:r>
    </w:p>
    <w:p w14:paraId="0B56D82C" w14:textId="77777777" w:rsidR="0012282F" w:rsidRPr="00F144C9" w:rsidRDefault="0012282F" w:rsidP="0012282F">
      <w:pPr>
        <w:pStyle w:val="PlainText"/>
        <w:ind w:left="720"/>
        <w:rPr>
          <w:rFonts w:cs="Arial"/>
          <w:szCs w:val="24"/>
        </w:rPr>
      </w:pPr>
    </w:p>
    <w:p w14:paraId="6B0740C5" w14:textId="77777777" w:rsidR="00D23D36" w:rsidRPr="00D23D36" w:rsidRDefault="00D23D36" w:rsidP="00D23D36">
      <w:pPr>
        <w:ind w:left="720"/>
        <w:rPr>
          <w:lang w:val="en"/>
        </w:rPr>
      </w:pPr>
      <w:sdt>
        <w:sdtPr>
          <w:rPr>
            <w:lang w:val="en"/>
          </w:rPr>
          <w:id w:val="-98986650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104CC579" w14:textId="77777777" w:rsidR="00D23D36" w:rsidRPr="00D23D36" w:rsidRDefault="00D23D36" w:rsidP="00D23D36">
      <w:pPr>
        <w:ind w:left="720"/>
        <w:rPr>
          <w:lang w:val="en"/>
        </w:rPr>
      </w:pPr>
      <w:sdt>
        <w:sdtPr>
          <w:rPr>
            <w:lang w:val="en"/>
          </w:rPr>
          <w:id w:val="119966155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6C4068D4" w14:textId="77777777" w:rsidR="00D23D36" w:rsidRPr="00D23D36" w:rsidRDefault="00D23D36" w:rsidP="00D23D36">
      <w:pPr>
        <w:ind w:left="720"/>
        <w:rPr>
          <w:lang w:val="en"/>
        </w:rPr>
      </w:pPr>
      <w:sdt>
        <w:sdtPr>
          <w:rPr>
            <w:lang w:val="en"/>
          </w:rPr>
          <w:id w:val="46116134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7E027DDB" w14:textId="77777777" w:rsidR="00D23D36" w:rsidRPr="00D23D36" w:rsidRDefault="00D23D36" w:rsidP="00D23D36">
      <w:pPr>
        <w:ind w:left="720"/>
        <w:rPr>
          <w:lang w:val="en"/>
        </w:rPr>
      </w:pPr>
      <w:sdt>
        <w:sdtPr>
          <w:rPr>
            <w:lang w:val="en"/>
          </w:rPr>
          <w:id w:val="36657657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40A329AD" w14:textId="77777777" w:rsidR="00D23D36" w:rsidRPr="00D23D36" w:rsidRDefault="00D23D36" w:rsidP="00D23D36">
      <w:pPr>
        <w:ind w:left="720"/>
        <w:rPr>
          <w:lang w:val="en"/>
        </w:rPr>
      </w:pPr>
      <w:sdt>
        <w:sdtPr>
          <w:rPr>
            <w:lang w:val="en"/>
          </w:rPr>
          <w:id w:val="1774595463"/>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4B0DEF1E" w14:textId="77777777" w:rsidR="0012282F" w:rsidRPr="00F144C9" w:rsidRDefault="0012282F" w:rsidP="0012282F">
      <w:pPr>
        <w:pStyle w:val="ListParagraph"/>
        <w:ind w:left="1080"/>
        <w:rPr>
          <w:lang w:val="en"/>
        </w:rPr>
      </w:pPr>
    </w:p>
    <w:p w14:paraId="720B623E" w14:textId="1C40165A" w:rsidR="00D23D36" w:rsidRPr="00F144C9" w:rsidRDefault="00D23D36" w:rsidP="00D23D36">
      <w:pPr>
        <w:rPr>
          <w:rFonts w:cs="Arial"/>
          <w:szCs w:val="24"/>
          <w:lang w:val="en"/>
        </w:rPr>
      </w:pPr>
      <w:r>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2FA65CBA" w14:textId="77777777" w:rsidTr="006E6594">
        <w:tc>
          <w:tcPr>
            <w:tcW w:w="9016" w:type="dxa"/>
          </w:tcPr>
          <w:p w14:paraId="39C4CE79" w14:textId="77777777" w:rsidR="00D23D36" w:rsidRDefault="00D23D36" w:rsidP="006E6594">
            <w:pPr>
              <w:pStyle w:val="ListParagraph"/>
              <w:ind w:left="0"/>
              <w:rPr>
                <w:lang w:val="en"/>
              </w:rPr>
            </w:pPr>
          </w:p>
          <w:p w14:paraId="4E31CBCD" w14:textId="77777777" w:rsidR="00D23D36" w:rsidRDefault="00D23D36" w:rsidP="006E6594">
            <w:pPr>
              <w:pStyle w:val="ListParagraph"/>
              <w:ind w:left="0"/>
              <w:rPr>
                <w:lang w:val="en"/>
              </w:rPr>
            </w:pPr>
          </w:p>
          <w:p w14:paraId="67645B20" w14:textId="77777777" w:rsidR="00D23D36" w:rsidRDefault="00D23D36" w:rsidP="006E6594">
            <w:pPr>
              <w:pStyle w:val="ListParagraph"/>
              <w:ind w:left="0"/>
              <w:rPr>
                <w:lang w:val="en"/>
              </w:rPr>
            </w:pPr>
          </w:p>
          <w:p w14:paraId="1008CACC" w14:textId="77777777" w:rsidR="00D23D36" w:rsidRDefault="00D23D36" w:rsidP="006E6594">
            <w:pPr>
              <w:pStyle w:val="ListParagraph"/>
              <w:ind w:left="0"/>
              <w:rPr>
                <w:lang w:val="en"/>
              </w:rPr>
            </w:pPr>
          </w:p>
          <w:p w14:paraId="3C58A45D" w14:textId="77777777" w:rsidR="00D23D36" w:rsidRDefault="00D23D36" w:rsidP="006E6594">
            <w:pPr>
              <w:pStyle w:val="ListParagraph"/>
              <w:ind w:left="0"/>
              <w:rPr>
                <w:lang w:val="en"/>
              </w:rPr>
            </w:pPr>
          </w:p>
        </w:tc>
      </w:tr>
    </w:tbl>
    <w:p w14:paraId="30283CF8" w14:textId="77777777" w:rsidR="00D23D36" w:rsidRDefault="00D23D36" w:rsidP="00D23D36">
      <w:pPr>
        <w:pStyle w:val="PlainText"/>
        <w:ind w:left="360" w:firstLine="360"/>
        <w:rPr>
          <w:rFonts w:cs="Arial"/>
          <w:szCs w:val="24"/>
          <w:lang w:val="en"/>
        </w:rPr>
      </w:pPr>
    </w:p>
    <w:p w14:paraId="30BC54FB" w14:textId="77777777" w:rsidR="00D23D36" w:rsidRDefault="00D23D36" w:rsidP="00D23D36">
      <w:pPr>
        <w:pStyle w:val="PlainText"/>
        <w:ind w:left="360" w:firstLine="360"/>
        <w:rPr>
          <w:rFonts w:cs="Arial"/>
          <w:szCs w:val="24"/>
          <w:lang w:val="en"/>
        </w:rPr>
      </w:pPr>
    </w:p>
    <w:p w14:paraId="71654414" w14:textId="77777777" w:rsidR="00D23D36" w:rsidRPr="00F144C9" w:rsidRDefault="00D23D36" w:rsidP="00D23D36">
      <w:pPr>
        <w:pStyle w:val="PlainText"/>
        <w:ind w:left="360" w:firstLine="360"/>
        <w:rPr>
          <w:rFonts w:cs="Arial"/>
          <w:szCs w:val="24"/>
        </w:rPr>
      </w:pPr>
    </w:p>
    <w:p w14:paraId="0290438C" w14:textId="77777777" w:rsidR="0012282F" w:rsidRPr="00F144C9" w:rsidRDefault="0012282F" w:rsidP="0012282F">
      <w:pPr>
        <w:pStyle w:val="PlainText"/>
        <w:numPr>
          <w:ilvl w:val="0"/>
          <w:numId w:val="20"/>
        </w:numPr>
        <w:jc w:val="both"/>
        <w:rPr>
          <w:rFonts w:cs="Arial"/>
          <w:szCs w:val="24"/>
        </w:rPr>
      </w:pPr>
      <w:r w:rsidRPr="00F144C9">
        <w:rPr>
          <w:rFonts w:cs="Arial"/>
          <w:szCs w:val="24"/>
        </w:rPr>
        <w:t>Section 4.2, ‘</w:t>
      </w:r>
      <w:r w:rsidRPr="00F144C9">
        <w:rPr>
          <w:rFonts w:eastAsiaTheme="minorEastAsia" w:cs="Arial"/>
          <w:b/>
          <w:color w:val="000000" w:themeColor="text1"/>
          <w:kern w:val="24"/>
          <w:szCs w:val="24"/>
        </w:rPr>
        <w:t xml:space="preserve">Remedies for unlawful acts (sections 7 to 10)’ </w:t>
      </w:r>
      <w:r w:rsidRPr="00F144C9">
        <w:rPr>
          <w:rFonts w:cs="Arial"/>
          <w:szCs w:val="24"/>
        </w:rPr>
        <w:t>is useful.</w:t>
      </w:r>
    </w:p>
    <w:p w14:paraId="0B9F349E" w14:textId="77777777" w:rsidR="00D23D36" w:rsidRPr="00F144C9" w:rsidRDefault="00D23D36" w:rsidP="00D23D36">
      <w:pPr>
        <w:pStyle w:val="PlainText"/>
        <w:rPr>
          <w:rFonts w:cs="Arial"/>
          <w:szCs w:val="24"/>
        </w:rPr>
      </w:pPr>
    </w:p>
    <w:p w14:paraId="75B23EA7" w14:textId="77777777" w:rsidR="00D23D36" w:rsidRPr="00D23D36" w:rsidRDefault="00D23D36" w:rsidP="00D23D36">
      <w:pPr>
        <w:ind w:left="720"/>
        <w:rPr>
          <w:lang w:val="en"/>
        </w:rPr>
      </w:pPr>
      <w:sdt>
        <w:sdtPr>
          <w:rPr>
            <w:lang w:val="en"/>
          </w:rPr>
          <w:id w:val="131938945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521A81C8" w14:textId="77777777" w:rsidR="00D23D36" w:rsidRPr="00D23D36" w:rsidRDefault="00D23D36" w:rsidP="00D23D36">
      <w:pPr>
        <w:ind w:left="720"/>
        <w:rPr>
          <w:lang w:val="en"/>
        </w:rPr>
      </w:pPr>
      <w:sdt>
        <w:sdtPr>
          <w:rPr>
            <w:lang w:val="en"/>
          </w:rPr>
          <w:id w:val="-130299993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5DF1ABE6" w14:textId="77777777" w:rsidR="00D23D36" w:rsidRPr="00D23D36" w:rsidRDefault="00D23D36" w:rsidP="00D23D36">
      <w:pPr>
        <w:ind w:left="720"/>
        <w:rPr>
          <w:lang w:val="en"/>
        </w:rPr>
      </w:pPr>
      <w:sdt>
        <w:sdtPr>
          <w:rPr>
            <w:lang w:val="en"/>
          </w:rPr>
          <w:id w:val="-184123501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1B5C7305" w14:textId="77777777" w:rsidR="00D23D36" w:rsidRPr="00D23D36" w:rsidRDefault="00D23D36" w:rsidP="00D23D36">
      <w:pPr>
        <w:ind w:left="720"/>
        <w:rPr>
          <w:lang w:val="en"/>
        </w:rPr>
      </w:pPr>
      <w:sdt>
        <w:sdtPr>
          <w:rPr>
            <w:lang w:val="en"/>
          </w:rPr>
          <w:id w:val="-54158779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44B53FD6" w14:textId="77777777" w:rsidR="00D23D36" w:rsidRPr="00D23D36" w:rsidRDefault="00D23D36" w:rsidP="00D23D36">
      <w:pPr>
        <w:ind w:left="720"/>
        <w:rPr>
          <w:lang w:val="en"/>
        </w:rPr>
      </w:pPr>
      <w:sdt>
        <w:sdtPr>
          <w:rPr>
            <w:lang w:val="en"/>
          </w:rPr>
          <w:id w:val="52391153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785ED758" w14:textId="77777777" w:rsidR="00D23D36" w:rsidRPr="00F144C9" w:rsidRDefault="00D23D36" w:rsidP="00D23D36">
      <w:pPr>
        <w:rPr>
          <w:rFonts w:cs="Arial"/>
          <w:szCs w:val="24"/>
          <w:lang w:val="en"/>
        </w:rPr>
      </w:pPr>
    </w:p>
    <w:p w14:paraId="69784CAB" w14:textId="77777777" w:rsidR="00D23D36" w:rsidRPr="00F144C9" w:rsidRDefault="00D23D36" w:rsidP="00D23D36">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3987658A" w14:textId="77777777" w:rsidTr="006E6594">
        <w:tc>
          <w:tcPr>
            <w:tcW w:w="9016" w:type="dxa"/>
          </w:tcPr>
          <w:p w14:paraId="47222625" w14:textId="77777777" w:rsidR="00D23D36" w:rsidRDefault="00D23D36" w:rsidP="006E6594">
            <w:pPr>
              <w:pStyle w:val="ListParagraph"/>
              <w:ind w:left="0"/>
              <w:rPr>
                <w:lang w:val="en"/>
              </w:rPr>
            </w:pPr>
          </w:p>
          <w:p w14:paraId="041E341C" w14:textId="77777777" w:rsidR="00D23D36" w:rsidRDefault="00D23D36" w:rsidP="006E6594">
            <w:pPr>
              <w:pStyle w:val="ListParagraph"/>
              <w:ind w:left="0"/>
              <w:rPr>
                <w:lang w:val="en"/>
              </w:rPr>
            </w:pPr>
          </w:p>
          <w:p w14:paraId="15C1C169" w14:textId="77777777" w:rsidR="00D23D36" w:rsidRDefault="00D23D36" w:rsidP="006E6594">
            <w:pPr>
              <w:pStyle w:val="ListParagraph"/>
              <w:ind w:left="0"/>
              <w:rPr>
                <w:lang w:val="en"/>
              </w:rPr>
            </w:pPr>
          </w:p>
          <w:p w14:paraId="45258534" w14:textId="77777777" w:rsidR="00D23D36" w:rsidRDefault="00D23D36" w:rsidP="006E6594">
            <w:pPr>
              <w:pStyle w:val="ListParagraph"/>
              <w:ind w:left="0"/>
              <w:rPr>
                <w:lang w:val="en"/>
              </w:rPr>
            </w:pPr>
          </w:p>
          <w:p w14:paraId="4B73EE3D" w14:textId="77777777" w:rsidR="00D23D36" w:rsidRDefault="00D23D36" w:rsidP="006E6594">
            <w:pPr>
              <w:pStyle w:val="ListParagraph"/>
              <w:ind w:left="0"/>
              <w:rPr>
                <w:lang w:val="en"/>
              </w:rPr>
            </w:pPr>
          </w:p>
        </w:tc>
      </w:tr>
    </w:tbl>
    <w:p w14:paraId="30B681C2" w14:textId="77777777" w:rsidR="0012282F" w:rsidRPr="00F144C9" w:rsidRDefault="0012282F" w:rsidP="0012282F">
      <w:pPr>
        <w:pStyle w:val="PlainText"/>
        <w:rPr>
          <w:rFonts w:cs="Arial"/>
          <w:szCs w:val="24"/>
        </w:rPr>
      </w:pPr>
    </w:p>
    <w:p w14:paraId="649CC904" w14:textId="77777777" w:rsidR="0012282F" w:rsidRPr="00F144C9" w:rsidRDefault="0012282F" w:rsidP="0012282F">
      <w:pPr>
        <w:pStyle w:val="PlainText"/>
        <w:ind w:left="720"/>
        <w:rPr>
          <w:rFonts w:cs="Arial"/>
          <w:szCs w:val="24"/>
        </w:rPr>
      </w:pPr>
    </w:p>
    <w:p w14:paraId="6DD87A9D" w14:textId="77777777" w:rsidR="0012282F" w:rsidRPr="00F144C9" w:rsidRDefault="0012282F" w:rsidP="0012282F">
      <w:pPr>
        <w:pStyle w:val="PlainText"/>
        <w:numPr>
          <w:ilvl w:val="0"/>
          <w:numId w:val="20"/>
        </w:numPr>
        <w:jc w:val="both"/>
        <w:rPr>
          <w:rFonts w:cs="Arial"/>
          <w:szCs w:val="24"/>
        </w:rPr>
      </w:pPr>
      <w:r w:rsidRPr="00F144C9">
        <w:rPr>
          <w:rFonts w:cs="Arial"/>
          <w:szCs w:val="24"/>
        </w:rPr>
        <w:t>Section 4.2.3 ‘</w:t>
      </w:r>
      <w:r w:rsidRPr="00F144C9">
        <w:rPr>
          <w:rFonts w:cs="Arial"/>
          <w:b/>
          <w:bCs/>
          <w:szCs w:val="24"/>
        </w:rPr>
        <w:t>Definition of a public authority</w:t>
      </w:r>
      <w:r w:rsidRPr="00F144C9">
        <w:rPr>
          <w:rFonts w:cs="Arial"/>
          <w:szCs w:val="24"/>
        </w:rPr>
        <w:t>’ is clear.</w:t>
      </w:r>
    </w:p>
    <w:p w14:paraId="0B60091F" w14:textId="77777777" w:rsidR="00D23D36" w:rsidRPr="00F144C9" w:rsidRDefault="00D23D36" w:rsidP="00D23D36">
      <w:pPr>
        <w:pStyle w:val="PlainText"/>
        <w:rPr>
          <w:rFonts w:cs="Arial"/>
          <w:szCs w:val="24"/>
        </w:rPr>
      </w:pPr>
    </w:p>
    <w:p w14:paraId="7E4AA48D" w14:textId="77777777" w:rsidR="00D23D36" w:rsidRPr="00D23D36" w:rsidRDefault="00D23D36" w:rsidP="00D23D36">
      <w:pPr>
        <w:ind w:left="720"/>
        <w:rPr>
          <w:lang w:val="en"/>
        </w:rPr>
      </w:pPr>
      <w:sdt>
        <w:sdtPr>
          <w:rPr>
            <w:lang w:val="en"/>
          </w:rPr>
          <w:id w:val="88282456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1097C191" w14:textId="77777777" w:rsidR="00D23D36" w:rsidRPr="00D23D36" w:rsidRDefault="00D23D36" w:rsidP="00D23D36">
      <w:pPr>
        <w:ind w:left="720"/>
        <w:rPr>
          <w:lang w:val="en"/>
        </w:rPr>
      </w:pPr>
      <w:sdt>
        <w:sdtPr>
          <w:rPr>
            <w:lang w:val="en"/>
          </w:rPr>
          <w:id w:val="-808243033"/>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28E99365" w14:textId="77777777" w:rsidR="00D23D36" w:rsidRPr="00D23D36" w:rsidRDefault="00D23D36" w:rsidP="00D23D36">
      <w:pPr>
        <w:ind w:left="720"/>
        <w:rPr>
          <w:lang w:val="en"/>
        </w:rPr>
      </w:pPr>
      <w:sdt>
        <w:sdtPr>
          <w:rPr>
            <w:lang w:val="en"/>
          </w:rPr>
          <w:id w:val="-121296401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23C85A9E" w14:textId="77777777" w:rsidR="00D23D36" w:rsidRPr="00D23D36" w:rsidRDefault="00D23D36" w:rsidP="00D23D36">
      <w:pPr>
        <w:ind w:left="720"/>
        <w:rPr>
          <w:lang w:val="en"/>
        </w:rPr>
      </w:pPr>
      <w:sdt>
        <w:sdtPr>
          <w:rPr>
            <w:lang w:val="en"/>
          </w:rPr>
          <w:id w:val="-187808355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58491977" w14:textId="77777777" w:rsidR="00D23D36" w:rsidRPr="00D23D36" w:rsidRDefault="00D23D36" w:rsidP="00D23D36">
      <w:pPr>
        <w:ind w:left="720"/>
        <w:rPr>
          <w:lang w:val="en"/>
        </w:rPr>
      </w:pPr>
      <w:sdt>
        <w:sdtPr>
          <w:rPr>
            <w:lang w:val="en"/>
          </w:rPr>
          <w:id w:val="125578167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0762E1AC" w14:textId="77777777" w:rsidR="00D23D36" w:rsidRPr="00F144C9" w:rsidRDefault="00D23D36" w:rsidP="00D23D36">
      <w:pPr>
        <w:rPr>
          <w:rFonts w:cs="Arial"/>
          <w:szCs w:val="24"/>
          <w:lang w:val="en"/>
        </w:rPr>
      </w:pPr>
    </w:p>
    <w:p w14:paraId="77782520" w14:textId="77777777" w:rsidR="00D23D36" w:rsidRPr="00F144C9" w:rsidRDefault="00D23D36" w:rsidP="00D23D36">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2BBBA183" w14:textId="77777777" w:rsidTr="006E6594">
        <w:tc>
          <w:tcPr>
            <w:tcW w:w="9016" w:type="dxa"/>
          </w:tcPr>
          <w:p w14:paraId="57352BD1" w14:textId="77777777" w:rsidR="00D23D36" w:rsidRDefault="00D23D36" w:rsidP="006E6594">
            <w:pPr>
              <w:pStyle w:val="ListParagraph"/>
              <w:ind w:left="0"/>
              <w:rPr>
                <w:lang w:val="en"/>
              </w:rPr>
            </w:pPr>
          </w:p>
          <w:p w14:paraId="2DDEE00C" w14:textId="77777777" w:rsidR="00D23D36" w:rsidRDefault="00D23D36" w:rsidP="006E6594">
            <w:pPr>
              <w:pStyle w:val="ListParagraph"/>
              <w:ind w:left="0"/>
              <w:rPr>
                <w:lang w:val="en"/>
              </w:rPr>
            </w:pPr>
          </w:p>
          <w:p w14:paraId="5A45EE25" w14:textId="77777777" w:rsidR="00D23D36" w:rsidRDefault="00D23D36" w:rsidP="006E6594">
            <w:pPr>
              <w:pStyle w:val="ListParagraph"/>
              <w:ind w:left="0"/>
              <w:rPr>
                <w:lang w:val="en"/>
              </w:rPr>
            </w:pPr>
          </w:p>
          <w:p w14:paraId="47CDEDB6" w14:textId="77777777" w:rsidR="00D23D36" w:rsidRDefault="00D23D36" w:rsidP="006E6594">
            <w:pPr>
              <w:pStyle w:val="ListParagraph"/>
              <w:ind w:left="0"/>
              <w:rPr>
                <w:lang w:val="en"/>
              </w:rPr>
            </w:pPr>
          </w:p>
          <w:p w14:paraId="42254B04" w14:textId="77777777" w:rsidR="00D23D36" w:rsidRDefault="00D23D36" w:rsidP="006E6594">
            <w:pPr>
              <w:pStyle w:val="ListParagraph"/>
              <w:ind w:left="0"/>
              <w:rPr>
                <w:lang w:val="en"/>
              </w:rPr>
            </w:pPr>
          </w:p>
        </w:tc>
      </w:tr>
    </w:tbl>
    <w:p w14:paraId="116408F6" w14:textId="77777777" w:rsidR="0012282F" w:rsidRPr="00F144C9" w:rsidRDefault="0012282F" w:rsidP="0012282F">
      <w:pPr>
        <w:pStyle w:val="PlainText"/>
        <w:ind w:left="720"/>
        <w:rPr>
          <w:rFonts w:cs="Arial"/>
          <w:szCs w:val="24"/>
        </w:rPr>
      </w:pPr>
    </w:p>
    <w:p w14:paraId="45B87FBC" w14:textId="77777777" w:rsidR="0012282F" w:rsidRPr="00F144C9" w:rsidRDefault="0012282F" w:rsidP="0012282F">
      <w:pPr>
        <w:pStyle w:val="PlainText"/>
        <w:ind w:left="720"/>
        <w:rPr>
          <w:rFonts w:cs="Arial"/>
          <w:szCs w:val="24"/>
        </w:rPr>
      </w:pPr>
    </w:p>
    <w:p w14:paraId="52093C3E" w14:textId="77777777" w:rsidR="0012282F" w:rsidRPr="00F144C9" w:rsidRDefault="0012282F" w:rsidP="0012282F">
      <w:pPr>
        <w:pStyle w:val="PlainText"/>
        <w:numPr>
          <w:ilvl w:val="0"/>
          <w:numId w:val="20"/>
        </w:numPr>
        <w:jc w:val="both"/>
        <w:rPr>
          <w:rFonts w:cs="Arial"/>
          <w:szCs w:val="24"/>
        </w:rPr>
      </w:pPr>
      <w:r w:rsidRPr="00F144C9">
        <w:rPr>
          <w:rFonts w:cs="Arial"/>
          <w:szCs w:val="24"/>
        </w:rPr>
        <w:t>Section 4.3.1 ‘</w:t>
      </w:r>
      <w:r w:rsidRPr="00F144C9">
        <w:rPr>
          <w:rFonts w:cs="Arial"/>
          <w:b/>
          <w:bCs/>
          <w:szCs w:val="24"/>
        </w:rPr>
        <w:t>Definition of functions of a public nature’</w:t>
      </w:r>
      <w:r w:rsidRPr="00F144C9">
        <w:rPr>
          <w:rFonts w:cs="Arial"/>
          <w:szCs w:val="24"/>
        </w:rPr>
        <w:t xml:space="preserve"> is clear.</w:t>
      </w:r>
    </w:p>
    <w:p w14:paraId="4758F469" w14:textId="77777777" w:rsidR="0012282F" w:rsidRPr="00F144C9" w:rsidRDefault="0012282F" w:rsidP="0012282F">
      <w:pPr>
        <w:pStyle w:val="PlainText"/>
        <w:ind w:left="720"/>
        <w:rPr>
          <w:rFonts w:cs="Arial"/>
          <w:szCs w:val="24"/>
        </w:rPr>
      </w:pPr>
    </w:p>
    <w:p w14:paraId="1CF95220" w14:textId="77777777" w:rsidR="00D23D36" w:rsidRPr="00F144C9" w:rsidRDefault="00D23D36" w:rsidP="00D23D36">
      <w:pPr>
        <w:pStyle w:val="PlainText"/>
        <w:ind w:left="720"/>
        <w:rPr>
          <w:rFonts w:cs="Arial"/>
          <w:szCs w:val="24"/>
        </w:rPr>
      </w:pPr>
    </w:p>
    <w:p w14:paraId="23D055FE" w14:textId="77777777" w:rsidR="00D23D36" w:rsidRPr="00D23D36" w:rsidRDefault="00D23D36" w:rsidP="00D23D36">
      <w:pPr>
        <w:ind w:left="720"/>
        <w:rPr>
          <w:lang w:val="en"/>
        </w:rPr>
      </w:pPr>
      <w:sdt>
        <w:sdtPr>
          <w:rPr>
            <w:lang w:val="en"/>
          </w:rPr>
          <w:id w:val="-133598506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0A7FA5E0" w14:textId="77777777" w:rsidR="00D23D36" w:rsidRPr="00D23D36" w:rsidRDefault="00D23D36" w:rsidP="00D23D36">
      <w:pPr>
        <w:ind w:left="720"/>
        <w:rPr>
          <w:lang w:val="en"/>
        </w:rPr>
      </w:pPr>
      <w:sdt>
        <w:sdtPr>
          <w:rPr>
            <w:lang w:val="en"/>
          </w:rPr>
          <w:id w:val="-76591747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5E0B497B" w14:textId="77777777" w:rsidR="00D23D36" w:rsidRPr="00D23D36" w:rsidRDefault="00D23D36" w:rsidP="00D23D36">
      <w:pPr>
        <w:ind w:left="720"/>
        <w:rPr>
          <w:lang w:val="en"/>
        </w:rPr>
      </w:pPr>
      <w:sdt>
        <w:sdtPr>
          <w:rPr>
            <w:lang w:val="en"/>
          </w:rPr>
          <w:id w:val="58905642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720EDBFB" w14:textId="77777777" w:rsidR="00D23D36" w:rsidRPr="00D23D36" w:rsidRDefault="00D23D36" w:rsidP="00D23D36">
      <w:pPr>
        <w:ind w:left="720"/>
        <w:rPr>
          <w:lang w:val="en"/>
        </w:rPr>
      </w:pPr>
      <w:sdt>
        <w:sdtPr>
          <w:rPr>
            <w:lang w:val="en"/>
          </w:rPr>
          <w:id w:val="-137113737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3F1A2664" w14:textId="77777777" w:rsidR="00D23D36" w:rsidRPr="00D23D36" w:rsidRDefault="00D23D36" w:rsidP="00D23D36">
      <w:pPr>
        <w:ind w:left="720"/>
        <w:rPr>
          <w:lang w:val="en"/>
        </w:rPr>
      </w:pPr>
      <w:sdt>
        <w:sdtPr>
          <w:rPr>
            <w:lang w:val="en"/>
          </w:rPr>
          <w:id w:val="156953982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693FAE0E" w14:textId="77777777" w:rsidR="00D23D36" w:rsidRPr="00F144C9" w:rsidRDefault="00D23D36" w:rsidP="00D23D36">
      <w:pPr>
        <w:rPr>
          <w:rFonts w:cs="Arial"/>
          <w:szCs w:val="24"/>
          <w:lang w:val="en"/>
        </w:rPr>
      </w:pPr>
    </w:p>
    <w:p w14:paraId="4B054639" w14:textId="77777777" w:rsidR="00D23D36" w:rsidRPr="00F144C9" w:rsidRDefault="00D23D36" w:rsidP="00D23D36">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4C6713C8" w14:textId="77777777" w:rsidTr="006E6594">
        <w:tc>
          <w:tcPr>
            <w:tcW w:w="9016" w:type="dxa"/>
          </w:tcPr>
          <w:p w14:paraId="2463CB35" w14:textId="77777777" w:rsidR="00D23D36" w:rsidRDefault="00D23D36" w:rsidP="006E6594">
            <w:pPr>
              <w:pStyle w:val="ListParagraph"/>
              <w:ind w:left="0"/>
              <w:rPr>
                <w:lang w:val="en"/>
              </w:rPr>
            </w:pPr>
          </w:p>
          <w:p w14:paraId="23776335" w14:textId="77777777" w:rsidR="00D23D36" w:rsidRDefault="00D23D36" w:rsidP="006E6594">
            <w:pPr>
              <w:pStyle w:val="ListParagraph"/>
              <w:ind w:left="0"/>
              <w:rPr>
                <w:lang w:val="en"/>
              </w:rPr>
            </w:pPr>
          </w:p>
          <w:p w14:paraId="3625AF83" w14:textId="77777777" w:rsidR="00D23D36" w:rsidRDefault="00D23D36" w:rsidP="006E6594">
            <w:pPr>
              <w:pStyle w:val="ListParagraph"/>
              <w:ind w:left="0"/>
              <w:rPr>
                <w:lang w:val="en"/>
              </w:rPr>
            </w:pPr>
          </w:p>
          <w:p w14:paraId="5ECB0476" w14:textId="77777777" w:rsidR="00D23D36" w:rsidRDefault="00D23D36" w:rsidP="006E6594">
            <w:pPr>
              <w:pStyle w:val="ListParagraph"/>
              <w:ind w:left="0"/>
              <w:rPr>
                <w:lang w:val="en"/>
              </w:rPr>
            </w:pPr>
          </w:p>
          <w:p w14:paraId="2D7714D6" w14:textId="77777777" w:rsidR="00D23D36" w:rsidRDefault="00D23D36" w:rsidP="006E6594">
            <w:pPr>
              <w:pStyle w:val="ListParagraph"/>
              <w:ind w:left="0"/>
              <w:rPr>
                <w:lang w:val="en"/>
              </w:rPr>
            </w:pPr>
          </w:p>
        </w:tc>
      </w:tr>
    </w:tbl>
    <w:p w14:paraId="07CDAEA1" w14:textId="77777777" w:rsidR="0012282F" w:rsidRPr="00F144C9" w:rsidRDefault="0012282F" w:rsidP="0012282F">
      <w:pPr>
        <w:pStyle w:val="PlainText"/>
        <w:ind w:left="720"/>
        <w:rPr>
          <w:rFonts w:cs="Arial"/>
          <w:szCs w:val="24"/>
        </w:rPr>
      </w:pPr>
    </w:p>
    <w:p w14:paraId="390F0EF7" w14:textId="336D8BFF" w:rsidR="0012282F" w:rsidRPr="00D23D36" w:rsidRDefault="0012282F" w:rsidP="00D23D36">
      <w:pPr>
        <w:pStyle w:val="ListParagraph"/>
        <w:numPr>
          <w:ilvl w:val="0"/>
          <w:numId w:val="20"/>
        </w:numPr>
        <w:tabs>
          <w:tab w:val="left" w:pos="720"/>
          <w:tab w:val="left" w:pos="1440"/>
          <w:tab w:val="left" w:pos="2160"/>
          <w:tab w:val="left" w:pos="2880"/>
          <w:tab w:val="left" w:pos="4680"/>
          <w:tab w:val="left" w:pos="5400"/>
          <w:tab w:val="right" w:pos="9000"/>
        </w:tabs>
        <w:spacing w:line="240" w:lineRule="atLeast"/>
        <w:jc w:val="both"/>
        <w:rPr>
          <w:rFonts w:ascii="Aptos" w:hAnsi="Aptos"/>
          <w:color w:val="000000"/>
        </w:rPr>
      </w:pPr>
      <w:r w:rsidRPr="000C7FB5">
        <w:rPr>
          <w:color w:val="000000"/>
        </w:rPr>
        <w:t>Section 4.4, ‘</w:t>
      </w:r>
      <w:r w:rsidRPr="000C7FB5">
        <w:rPr>
          <w:b/>
          <w:bCs/>
          <w:color w:val="000000"/>
        </w:rPr>
        <w:t>Explanation of the duties on public authorities in Part 2, section 6’</w:t>
      </w:r>
      <w:r w:rsidRPr="000C7FB5">
        <w:rPr>
          <w:color w:val="000000"/>
        </w:rPr>
        <w:t> clearly explains the nature of the section 6 duty on public authorities, including clearly articulating that the section 6 duty applies only when a public authority is carrying out devolved functions conferred under Acts of the Scottish Parliament or common law powers.</w:t>
      </w:r>
      <w:r w:rsidRPr="000C7FB5">
        <w:rPr>
          <w:b/>
          <w:bCs/>
          <w:color w:val="000000"/>
        </w:rPr>
        <w:t> </w:t>
      </w:r>
    </w:p>
    <w:p w14:paraId="1E73DA2F" w14:textId="77777777" w:rsidR="00D23D36" w:rsidRPr="00F144C9" w:rsidRDefault="00D23D36" w:rsidP="00D23D36">
      <w:pPr>
        <w:pStyle w:val="PlainText"/>
        <w:ind w:left="720"/>
        <w:rPr>
          <w:rFonts w:cs="Arial"/>
          <w:szCs w:val="24"/>
        </w:rPr>
      </w:pPr>
    </w:p>
    <w:p w14:paraId="5D85EC6D" w14:textId="77777777" w:rsidR="00D23D36" w:rsidRPr="00D23D36" w:rsidRDefault="00D23D36" w:rsidP="00D23D36">
      <w:pPr>
        <w:ind w:left="720"/>
        <w:rPr>
          <w:lang w:val="en"/>
        </w:rPr>
      </w:pPr>
      <w:sdt>
        <w:sdtPr>
          <w:rPr>
            <w:lang w:val="en"/>
          </w:rPr>
          <w:id w:val="139022853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75CC0A01" w14:textId="77777777" w:rsidR="00D23D36" w:rsidRPr="00D23D36" w:rsidRDefault="00D23D36" w:rsidP="00D23D36">
      <w:pPr>
        <w:ind w:left="720"/>
        <w:rPr>
          <w:lang w:val="en"/>
        </w:rPr>
      </w:pPr>
      <w:sdt>
        <w:sdtPr>
          <w:rPr>
            <w:lang w:val="en"/>
          </w:rPr>
          <w:id w:val="-115505625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2FA8C499" w14:textId="77777777" w:rsidR="00D23D36" w:rsidRPr="00D23D36" w:rsidRDefault="00D23D36" w:rsidP="00D23D36">
      <w:pPr>
        <w:ind w:left="720"/>
        <w:rPr>
          <w:lang w:val="en"/>
        </w:rPr>
      </w:pPr>
      <w:sdt>
        <w:sdtPr>
          <w:rPr>
            <w:lang w:val="en"/>
          </w:rPr>
          <w:id w:val="107047214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788ADB59" w14:textId="77777777" w:rsidR="00D23D36" w:rsidRPr="00D23D36" w:rsidRDefault="00D23D36" w:rsidP="00D23D36">
      <w:pPr>
        <w:ind w:left="720"/>
        <w:rPr>
          <w:lang w:val="en"/>
        </w:rPr>
      </w:pPr>
      <w:sdt>
        <w:sdtPr>
          <w:rPr>
            <w:lang w:val="en"/>
          </w:rPr>
          <w:id w:val="-141370047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020DE743" w14:textId="77777777" w:rsidR="00D23D36" w:rsidRPr="00D23D36" w:rsidRDefault="00D23D36" w:rsidP="00D23D36">
      <w:pPr>
        <w:ind w:left="720"/>
        <w:rPr>
          <w:lang w:val="en"/>
        </w:rPr>
      </w:pPr>
      <w:sdt>
        <w:sdtPr>
          <w:rPr>
            <w:lang w:val="en"/>
          </w:rPr>
          <w:id w:val="165656636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6A6DA79D" w14:textId="77777777" w:rsidR="00D23D36" w:rsidRPr="00F144C9" w:rsidRDefault="00D23D36" w:rsidP="00D23D36">
      <w:pPr>
        <w:rPr>
          <w:rFonts w:cs="Arial"/>
          <w:szCs w:val="24"/>
          <w:lang w:val="en"/>
        </w:rPr>
      </w:pPr>
    </w:p>
    <w:p w14:paraId="0BC42DAC" w14:textId="77777777" w:rsidR="00D23D36" w:rsidRPr="00F144C9" w:rsidRDefault="00D23D36" w:rsidP="00D23D36">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553E3B28" w14:textId="77777777" w:rsidTr="006E6594">
        <w:tc>
          <w:tcPr>
            <w:tcW w:w="9016" w:type="dxa"/>
          </w:tcPr>
          <w:p w14:paraId="0018DEBA" w14:textId="77777777" w:rsidR="00D23D36" w:rsidRDefault="00D23D36" w:rsidP="006E6594">
            <w:pPr>
              <w:pStyle w:val="ListParagraph"/>
              <w:ind w:left="0"/>
              <w:rPr>
                <w:lang w:val="en"/>
              </w:rPr>
            </w:pPr>
          </w:p>
          <w:p w14:paraId="552544BC" w14:textId="77777777" w:rsidR="00D23D36" w:rsidRDefault="00D23D36" w:rsidP="006E6594">
            <w:pPr>
              <w:pStyle w:val="ListParagraph"/>
              <w:ind w:left="0"/>
              <w:rPr>
                <w:lang w:val="en"/>
              </w:rPr>
            </w:pPr>
          </w:p>
          <w:p w14:paraId="11CABEDC" w14:textId="77777777" w:rsidR="00D23D36" w:rsidRDefault="00D23D36" w:rsidP="006E6594">
            <w:pPr>
              <w:pStyle w:val="ListParagraph"/>
              <w:ind w:left="0"/>
              <w:rPr>
                <w:lang w:val="en"/>
              </w:rPr>
            </w:pPr>
          </w:p>
          <w:p w14:paraId="2A08C7E1" w14:textId="77777777" w:rsidR="00D23D36" w:rsidRDefault="00D23D36" w:rsidP="006E6594">
            <w:pPr>
              <w:pStyle w:val="ListParagraph"/>
              <w:ind w:left="0"/>
              <w:rPr>
                <w:lang w:val="en"/>
              </w:rPr>
            </w:pPr>
          </w:p>
          <w:p w14:paraId="2DE8C0EE" w14:textId="77777777" w:rsidR="00D23D36" w:rsidRDefault="00D23D36" w:rsidP="006E6594">
            <w:pPr>
              <w:pStyle w:val="ListParagraph"/>
              <w:ind w:left="0"/>
              <w:rPr>
                <w:lang w:val="en"/>
              </w:rPr>
            </w:pPr>
          </w:p>
        </w:tc>
      </w:tr>
    </w:tbl>
    <w:p w14:paraId="25E3879E" w14:textId="77777777" w:rsidR="0012282F" w:rsidRPr="00F144C9" w:rsidRDefault="0012282F" w:rsidP="0012282F">
      <w:pPr>
        <w:pStyle w:val="PlainText"/>
        <w:ind w:left="720"/>
        <w:rPr>
          <w:rFonts w:cs="Arial"/>
          <w:szCs w:val="24"/>
        </w:rPr>
      </w:pPr>
    </w:p>
    <w:p w14:paraId="24D673F8" w14:textId="77777777" w:rsidR="0012282F" w:rsidRPr="00F144C9" w:rsidRDefault="0012282F" w:rsidP="0012282F">
      <w:pPr>
        <w:pStyle w:val="PlainText"/>
        <w:numPr>
          <w:ilvl w:val="0"/>
          <w:numId w:val="20"/>
        </w:numPr>
        <w:rPr>
          <w:rFonts w:cs="Arial"/>
          <w:szCs w:val="24"/>
        </w:rPr>
      </w:pPr>
      <w:r w:rsidRPr="00F144C9">
        <w:rPr>
          <w:rFonts w:cs="Arial"/>
          <w:szCs w:val="24"/>
        </w:rPr>
        <w:t>Annexes A.1 – A.5, ‘</w:t>
      </w:r>
      <w:r w:rsidRPr="00F144C9">
        <w:rPr>
          <w:rFonts w:cs="Arial"/>
          <w:b/>
          <w:bCs/>
          <w:szCs w:val="24"/>
        </w:rPr>
        <w:t>Clarification of conceptual aspects of the UNCRC</w:t>
      </w:r>
      <w:r w:rsidRPr="00F144C9">
        <w:rPr>
          <w:rFonts w:cs="Arial"/>
          <w:szCs w:val="24"/>
        </w:rPr>
        <w:t xml:space="preserve">’ are clear. </w:t>
      </w:r>
    </w:p>
    <w:p w14:paraId="522BB414" w14:textId="77777777" w:rsidR="0012282F" w:rsidRPr="00F144C9" w:rsidRDefault="0012282F" w:rsidP="0012282F">
      <w:pPr>
        <w:pStyle w:val="PlainText"/>
        <w:rPr>
          <w:rFonts w:cs="Arial"/>
          <w:szCs w:val="24"/>
        </w:rPr>
      </w:pPr>
    </w:p>
    <w:p w14:paraId="475933D3" w14:textId="77777777" w:rsidR="00D23D36" w:rsidRPr="00D23D36" w:rsidRDefault="00D23D36" w:rsidP="00D23D36">
      <w:pPr>
        <w:ind w:left="720"/>
        <w:rPr>
          <w:lang w:val="en"/>
        </w:rPr>
      </w:pPr>
      <w:sdt>
        <w:sdtPr>
          <w:rPr>
            <w:lang w:val="en"/>
          </w:rPr>
          <w:id w:val="-54969330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442602A3" w14:textId="77777777" w:rsidR="00D23D36" w:rsidRPr="00D23D36" w:rsidRDefault="00D23D36" w:rsidP="00D23D36">
      <w:pPr>
        <w:ind w:left="720"/>
        <w:rPr>
          <w:lang w:val="en"/>
        </w:rPr>
      </w:pPr>
      <w:sdt>
        <w:sdtPr>
          <w:rPr>
            <w:lang w:val="en"/>
          </w:rPr>
          <w:id w:val="71886210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01401105" w14:textId="77777777" w:rsidR="00D23D36" w:rsidRPr="00D23D36" w:rsidRDefault="00D23D36" w:rsidP="00D23D36">
      <w:pPr>
        <w:ind w:left="720"/>
        <w:rPr>
          <w:lang w:val="en"/>
        </w:rPr>
      </w:pPr>
      <w:sdt>
        <w:sdtPr>
          <w:rPr>
            <w:lang w:val="en"/>
          </w:rPr>
          <w:id w:val="123929763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11D98C37" w14:textId="77777777" w:rsidR="00D23D36" w:rsidRPr="00D23D36" w:rsidRDefault="00D23D36" w:rsidP="00D23D36">
      <w:pPr>
        <w:ind w:left="720"/>
        <w:rPr>
          <w:lang w:val="en"/>
        </w:rPr>
      </w:pPr>
      <w:sdt>
        <w:sdtPr>
          <w:rPr>
            <w:lang w:val="en"/>
          </w:rPr>
          <w:id w:val="32741000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61E4D194" w14:textId="77777777" w:rsidR="00D23D36" w:rsidRPr="00D23D36" w:rsidRDefault="00D23D36" w:rsidP="00D23D36">
      <w:pPr>
        <w:ind w:left="720"/>
        <w:rPr>
          <w:lang w:val="en"/>
        </w:rPr>
      </w:pPr>
      <w:sdt>
        <w:sdtPr>
          <w:rPr>
            <w:lang w:val="en"/>
          </w:rPr>
          <w:id w:val="53331096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056E1A7B" w14:textId="77777777" w:rsidR="0012282F" w:rsidRPr="00F144C9" w:rsidRDefault="0012282F" w:rsidP="0012282F">
      <w:pPr>
        <w:rPr>
          <w:rFonts w:cs="Arial"/>
          <w:szCs w:val="24"/>
          <w:lang w:val="en"/>
        </w:rPr>
      </w:pPr>
    </w:p>
    <w:p w14:paraId="6BFA8E76" w14:textId="77777777" w:rsidR="0012282F" w:rsidRPr="00F144C9" w:rsidRDefault="0012282F" w:rsidP="0012282F">
      <w:pPr>
        <w:pStyle w:val="PlainText"/>
        <w:rPr>
          <w:rFonts w:cs="Arial"/>
          <w:szCs w:val="24"/>
        </w:rPr>
      </w:pPr>
    </w:p>
    <w:p w14:paraId="06384466" w14:textId="77777777" w:rsidR="0012282F" w:rsidRPr="00F144C9" w:rsidRDefault="0012282F" w:rsidP="0012282F">
      <w:pPr>
        <w:pStyle w:val="PlainText"/>
        <w:numPr>
          <w:ilvl w:val="0"/>
          <w:numId w:val="20"/>
        </w:numPr>
        <w:rPr>
          <w:rFonts w:cs="Arial"/>
          <w:szCs w:val="24"/>
        </w:rPr>
      </w:pPr>
      <w:r w:rsidRPr="00F144C9">
        <w:rPr>
          <w:rFonts w:cs="Arial"/>
          <w:szCs w:val="24"/>
        </w:rPr>
        <w:t>Annexes B.1 – B.4 ‘</w:t>
      </w:r>
      <w:r w:rsidRPr="00F144C9">
        <w:rPr>
          <w:rFonts w:cs="Arial"/>
          <w:b/>
          <w:bCs/>
          <w:szCs w:val="24"/>
        </w:rPr>
        <w:t>Sources to guide interpretation</w:t>
      </w:r>
      <w:r w:rsidRPr="00F144C9">
        <w:rPr>
          <w:rFonts w:cs="Arial"/>
          <w:szCs w:val="24"/>
        </w:rPr>
        <w:t>’</w:t>
      </w:r>
      <w:r w:rsidRPr="00F144C9" w:rsidDel="00E45F86">
        <w:rPr>
          <w:rFonts w:cs="Arial"/>
          <w:szCs w:val="24"/>
        </w:rPr>
        <w:t xml:space="preserve"> </w:t>
      </w:r>
      <w:r w:rsidRPr="00F144C9">
        <w:rPr>
          <w:rFonts w:cs="Arial"/>
          <w:szCs w:val="24"/>
        </w:rPr>
        <w:t xml:space="preserve">are useful. </w:t>
      </w:r>
    </w:p>
    <w:p w14:paraId="37A4B687" w14:textId="77777777" w:rsidR="0012282F" w:rsidRPr="00F144C9" w:rsidRDefault="0012282F" w:rsidP="0012282F">
      <w:pPr>
        <w:pStyle w:val="PlainText"/>
        <w:ind w:left="720"/>
        <w:rPr>
          <w:rFonts w:cs="Arial"/>
          <w:szCs w:val="24"/>
        </w:rPr>
      </w:pPr>
    </w:p>
    <w:p w14:paraId="176D3199" w14:textId="77777777" w:rsidR="00D23D36" w:rsidRPr="00D23D36" w:rsidRDefault="00D23D36" w:rsidP="00D23D36">
      <w:pPr>
        <w:ind w:left="720"/>
        <w:rPr>
          <w:lang w:val="en"/>
        </w:rPr>
      </w:pPr>
      <w:sdt>
        <w:sdtPr>
          <w:rPr>
            <w:lang w:val="en"/>
          </w:rPr>
          <w:id w:val="1150404763"/>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531485BC" w14:textId="77777777" w:rsidR="00D23D36" w:rsidRPr="00D23D36" w:rsidRDefault="00D23D36" w:rsidP="00D23D36">
      <w:pPr>
        <w:ind w:left="720"/>
        <w:rPr>
          <w:lang w:val="en"/>
        </w:rPr>
      </w:pPr>
      <w:sdt>
        <w:sdtPr>
          <w:rPr>
            <w:lang w:val="en"/>
          </w:rPr>
          <w:id w:val="134936671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555B5E41" w14:textId="77777777" w:rsidR="00D23D36" w:rsidRPr="00D23D36" w:rsidRDefault="00D23D36" w:rsidP="00D23D36">
      <w:pPr>
        <w:ind w:left="720"/>
        <w:rPr>
          <w:lang w:val="en"/>
        </w:rPr>
      </w:pPr>
      <w:sdt>
        <w:sdtPr>
          <w:rPr>
            <w:lang w:val="en"/>
          </w:rPr>
          <w:id w:val="136393214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2D3BBF1A" w14:textId="77777777" w:rsidR="00D23D36" w:rsidRPr="00D23D36" w:rsidRDefault="00D23D36" w:rsidP="00D23D36">
      <w:pPr>
        <w:ind w:left="720"/>
        <w:rPr>
          <w:lang w:val="en"/>
        </w:rPr>
      </w:pPr>
      <w:sdt>
        <w:sdtPr>
          <w:rPr>
            <w:lang w:val="en"/>
          </w:rPr>
          <w:id w:val="20537362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681F19F7" w14:textId="77777777" w:rsidR="00D23D36" w:rsidRPr="00D23D36" w:rsidRDefault="00D23D36" w:rsidP="00D23D36">
      <w:pPr>
        <w:ind w:left="720"/>
        <w:rPr>
          <w:lang w:val="en"/>
        </w:rPr>
      </w:pPr>
      <w:sdt>
        <w:sdtPr>
          <w:rPr>
            <w:lang w:val="en"/>
          </w:rPr>
          <w:id w:val="10315046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2C1BF440" w14:textId="77777777" w:rsidR="0012282F" w:rsidRPr="00F144C9" w:rsidRDefault="0012282F" w:rsidP="00D23D36">
      <w:pPr>
        <w:pStyle w:val="PlainText"/>
        <w:rPr>
          <w:rFonts w:cs="Arial"/>
          <w:szCs w:val="24"/>
        </w:rPr>
      </w:pPr>
    </w:p>
    <w:p w14:paraId="4775F3D2" w14:textId="77777777" w:rsidR="0012282F" w:rsidRPr="00F144C9" w:rsidRDefault="0012282F" w:rsidP="0012282F">
      <w:pPr>
        <w:pStyle w:val="PlainText"/>
        <w:ind w:left="720"/>
        <w:rPr>
          <w:rFonts w:cs="Arial"/>
          <w:szCs w:val="24"/>
        </w:rPr>
      </w:pPr>
    </w:p>
    <w:p w14:paraId="0C266F7B" w14:textId="638A8EDF" w:rsidR="0012282F" w:rsidRPr="005B59D0" w:rsidRDefault="005B59D0" w:rsidP="005B59D0">
      <w:pPr>
        <w:pStyle w:val="ListParagraph"/>
        <w:numPr>
          <w:ilvl w:val="0"/>
          <w:numId w:val="20"/>
        </w:numPr>
        <w:rPr>
          <w:b/>
          <w:bCs/>
        </w:rPr>
      </w:pPr>
      <w:r w:rsidRPr="005B59D0">
        <w:t>Annex C, ‘</w:t>
      </w:r>
      <w:r w:rsidRPr="005B59D0">
        <w:rPr>
          <w:b/>
          <w:bCs/>
        </w:rPr>
        <w:t>Framework for Reviewing Compatibility (</w:t>
      </w:r>
      <w:proofErr w:type="spellStart"/>
      <w:r w:rsidRPr="005B59D0">
        <w:rPr>
          <w:b/>
          <w:bCs/>
        </w:rPr>
        <w:t>s.6</w:t>
      </w:r>
      <w:proofErr w:type="spellEnd"/>
      <w:r w:rsidRPr="005B59D0">
        <w:rPr>
          <w:b/>
          <w:bCs/>
        </w:rPr>
        <w:t xml:space="preserve"> duty)</w:t>
      </w:r>
      <w:r w:rsidRPr="005B59D0">
        <w:t>’ is presented in an accessible manner, e.g. the content, style, and length make this a user-friendly and practical resource.</w:t>
      </w:r>
    </w:p>
    <w:p w14:paraId="398F8306" w14:textId="77777777" w:rsidR="0012282F" w:rsidRPr="00F144C9" w:rsidRDefault="0012282F" w:rsidP="0012282F">
      <w:pPr>
        <w:pStyle w:val="PlainText"/>
        <w:rPr>
          <w:rFonts w:cs="Arial"/>
          <w:szCs w:val="24"/>
        </w:rPr>
      </w:pPr>
    </w:p>
    <w:p w14:paraId="68E7307F" w14:textId="77777777" w:rsidR="00D23D36" w:rsidRPr="00D23D36" w:rsidRDefault="00D23D36" w:rsidP="00D23D36">
      <w:pPr>
        <w:ind w:left="720"/>
        <w:rPr>
          <w:lang w:val="en"/>
        </w:rPr>
      </w:pPr>
      <w:sdt>
        <w:sdtPr>
          <w:rPr>
            <w:lang w:val="en"/>
          </w:rPr>
          <w:id w:val="-177654667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083C708D" w14:textId="77777777" w:rsidR="00D23D36" w:rsidRPr="00D23D36" w:rsidRDefault="00D23D36" w:rsidP="00D23D36">
      <w:pPr>
        <w:ind w:left="720"/>
        <w:rPr>
          <w:lang w:val="en"/>
        </w:rPr>
      </w:pPr>
      <w:sdt>
        <w:sdtPr>
          <w:rPr>
            <w:lang w:val="en"/>
          </w:rPr>
          <w:id w:val="136555974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11B680BB" w14:textId="77777777" w:rsidR="00D23D36" w:rsidRPr="00D23D36" w:rsidRDefault="00D23D36" w:rsidP="00D23D36">
      <w:pPr>
        <w:ind w:left="720"/>
        <w:rPr>
          <w:lang w:val="en"/>
        </w:rPr>
      </w:pPr>
      <w:sdt>
        <w:sdtPr>
          <w:rPr>
            <w:lang w:val="en"/>
          </w:rPr>
          <w:id w:val="-138470714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21753F8E" w14:textId="77777777" w:rsidR="00D23D36" w:rsidRPr="00D23D36" w:rsidRDefault="00D23D36" w:rsidP="00D23D36">
      <w:pPr>
        <w:ind w:left="720"/>
        <w:rPr>
          <w:lang w:val="en"/>
        </w:rPr>
      </w:pPr>
      <w:sdt>
        <w:sdtPr>
          <w:rPr>
            <w:lang w:val="en"/>
          </w:rPr>
          <w:id w:val="122873801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2A13F837" w14:textId="77777777" w:rsidR="00D23D36" w:rsidRPr="00D23D36" w:rsidRDefault="00D23D36" w:rsidP="00D23D36">
      <w:pPr>
        <w:ind w:left="720"/>
        <w:rPr>
          <w:lang w:val="en"/>
        </w:rPr>
      </w:pPr>
      <w:sdt>
        <w:sdtPr>
          <w:rPr>
            <w:lang w:val="en"/>
          </w:rPr>
          <w:id w:val="42724767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5B261059" w14:textId="77777777" w:rsidR="00D23D36" w:rsidRPr="00F144C9" w:rsidRDefault="00D23D36" w:rsidP="00D23D36">
      <w:pPr>
        <w:rPr>
          <w:rFonts w:cs="Arial"/>
          <w:szCs w:val="24"/>
          <w:lang w:val="en"/>
        </w:rPr>
      </w:pPr>
    </w:p>
    <w:p w14:paraId="5E4E1347" w14:textId="77777777" w:rsidR="00D23D36" w:rsidRPr="00F144C9" w:rsidRDefault="00D23D36" w:rsidP="00D23D36">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021C33EF" w14:textId="77777777" w:rsidTr="006E6594">
        <w:tc>
          <w:tcPr>
            <w:tcW w:w="9016" w:type="dxa"/>
          </w:tcPr>
          <w:p w14:paraId="744668AD" w14:textId="77777777" w:rsidR="00D23D36" w:rsidRDefault="00D23D36" w:rsidP="006E6594">
            <w:pPr>
              <w:pStyle w:val="ListParagraph"/>
              <w:ind w:left="0"/>
              <w:rPr>
                <w:lang w:val="en"/>
              </w:rPr>
            </w:pPr>
          </w:p>
          <w:p w14:paraId="4C2AA58A" w14:textId="77777777" w:rsidR="00D23D36" w:rsidRDefault="00D23D36" w:rsidP="006E6594">
            <w:pPr>
              <w:pStyle w:val="ListParagraph"/>
              <w:ind w:left="0"/>
              <w:rPr>
                <w:lang w:val="en"/>
              </w:rPr>
            </w:pPr>
          </w:p>
          <w:p w14:paraId="1B1D802B" w14:textId="77777777" w:rsidR="00D23D36" w:rsidRDefault="00D23D36" w:rsidP="006E6594">
            <w:pPr>
              <w:pStyle w:val="ListParagraph"/>
              <w:ind w:left="0"/>
              <w:rPr>
                <w:lang w:val="en"/>
              </w:rPr>
            </w:pPr>
          </w:p>
          <w:p w14:paraId="55CAADB6" w14:textId="77777777" w:rsidR="00D23D36" w:rsidRDefault="00D23D36" w:rsidP="006E6594">
            <w:pPr>
              <w:pStyle w:val="ListParagraph"/>
              <w:ind w:left="0"/>
              <w:rPr>
                <w:lang w:val="en"/>
              </w:rPr>
            </w:pPr>
          </w:p>
          <w:p w14:paraId="5B7712E1" w14:textId="77777777" w:rsidR="00D23D36" w:rsidRDefault="00D23D36" w:rsidP="006E6594">
            <w:pPr>
              <w:pStyle w:val="ListParagraph"/>
              <w:ind w:left="0"/>
              <w:rPr>
                <w:lang w:val="en"/>
              </w:rPr>
            </w:pPr>
          </w:p>
        </w:tc>
      </w:tr>
    </w:tbl>
    <w:p w14:paraId="79811BCE" w14:textId="77777777" w:rsidR="0012282F" w:rsidRPr="00F144C9" w:rsidRDefault="0012282F" w:rsidP="0012282F">
      <w:pPr>
        <w:pStyle w:val="PlainText"/>
        <w:ind w:left="360"/>
        <w:rPr>
          <w:rFonts w:cs="Arial"/>
          <w:szCs w:val="24"/>
        </w:rPr>
      </w:pPr>
    </w:p>
    <w:p w14:paraId="6914A5A5" w14:textId="77777777" w:rsidR="0012282F" w:rsidRPr="00F144C9" w:rsidRDefault="0012282F" w:rsidP="0012282F">
      <w:pPr>
        <w:pStyle w:val="PlainText"/>
        <w:numPr>
          <w:ilvl w:val="0"/>
          <w:numId w:val="20"/>
        </w:numPr>
        <w:rPr>
          <w:rFonts w:cs="Arial"/>
          <w:szCs w:val="24"/>
        </w:rPr>
      </w:pPr>
      <w:r w:rsidRPr="00F144C9">
        <w:rPr>
          <w:rFonts w:cs="Arial"/>
          <w:szCs w:val="24"/>
        </w:rPr>
        <w:t>I clearly understand how to use the Compatibility Review Framework.</w:t>
      </w:r>
    </w:p>
    <w:p w14:paraId="582395DD" w14:textId="77777777" w:rsidR="0012282F" w:rsidRPr="00F144C9" w:rsidRDefault="0012282F" w:rsidP="0012282F">
      <w:pPr>
        <w:pStyle w:val="PlainText"/>
        <w:rPr>
          <w:rFonts w:cs="Arial"/>
          <w:szCs w:val="24"/>
        </w:rPr>
      </w:pPr>
    </w:p>
    <w:p w14:paraId="6A177327" w14:textId="77777777" w:rsidR="00D23D36" w:rsidRPr="00D23D36" w:rsidRDefault="00D23D36" w:rsidP="00D23D36">
      <w:pPr>
        <w:ind w:left="720"/>
        <w:rPr>
          <w:lang w:val="en"/>
        </w:rPr>
      </w:pPr>
      <w:sdt>
        <w:sdtPr>
          <w:rPr>
            <w:lang w:val="en"/>
          </w:rPr>
          <w:id w:val="50340918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20A99C27" w14:textId="77777777" w:rsidR="00D23D36" w:rsidRPr="00D23D36" w:rsidRDefault="00D23D36" w:rsidP="00D23D36">
      <w:pPr>
        <w:ind w:left="720"/>
        <w:rPr>
          <w:lang w:val="en"/>
        </w:rPr>
      </w:pPr>
      <w:sdt>
        <w:sdtPr>
          <w:rPr>
            <w:lang w:val="en"/>
          </w:rPr>
          <w:id w:val="164878055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25D836BF" w14:textId="77777777" w:rsidR="00D23D36" w:rsidRPr="00D23D36" w:rsidRDefault="00D23D36" w:rsidP="00D23D36">
      <w:pPr>
        <w:ind w:left="720"/>
        <w:rPr>
          <w:lang w:val="en"/>
        </w:rPr>
      </w:pPr>
      <w:sdt>
        <w:sdtPr>
          <w:rPr>
            <w:lang w:val="en"/>
          </w:rPr>
          <w:id w:val="-52039642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72B9082A" w14:textId="77777777" w:rsidR="00D23D36" w:rsidRPr="00D23D36" w:rsidRDefault="00D23D36" w:rsidP="00D23D36">
      <w:pPr>
        <w:ind w:left="720"/>
        <w:rPr>
          <w:lang w:val="en"/>
        </w:rPr>
      </w:pPr>
      <w:sdt>
        <w:sdtPr>
          <w:rPr>
            <w:lang w:val="en"/>
          </w:rPr>
          <w:id w:val="-58599218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3F7B17BD" w14:textId="77777777" w:rsidR="00D23D36" w:rsidRPr="00D23D36" w:rsidRDefault="00D23D36" w:rsidP="00D23D36">
      <w:pPr>
        <w:ind w:left="720"/>
        <w:rPr>
          <w:lang w:val="en"/>
        </w:rPr>
      </w:pPr>
      <w:sdt>
        <w:sdtPr>
          <w:rPr>
            <w:lang w:val="en"/>
          </w:rPr>
          <w:id w:val="-192009036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704A7776" w14:textId="77777777" w:rsidR="00D23D36" w:rsidRPr="00F144C9" w:rsidRDefault="00D23D36" w:rsidP="00D23D36">
      <w:pPr>
        <w:rPr>
          <w:rFonts w:cs="Arial"/>
          <w:szCs w:val="24"/>
          <w:lang w:val="en"/>
        </w:rPr>
      </w:pPr>
    </w:p>
    <w:p w14:paraId="73D5E6D8" w14:textId="77777777" w:rsidR="00D23D36" w:rsidRPr="00F144C9" w:rsidRDefault="00D23D36" w:rsidP="00D23D36">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1AB624AD" w14:textId="77777777" w:rsidTr="006E6594">
        <w:tc>
          <w:tcPr>
            <w:tcW w:w="9016" w:type="dxa"/>
          </w:tcPr>
          <w:p w14:paraId="7005EBC5" w14:textId="77777777" w:rsidR="00D23D36" w:rsidRDefault="00D23D36" w:rsidP="006E6594">
            <w:pPr>
              <w:pStyle w:val="ListParagraph"/>
              <w:ind w:left="0"/>
              <w:rPr>
                <w:lang w:val="en"/>
              </w:rPr>
            </w:pPr>
          </w:p>
          <w:p w14:paraId="2E32D5C9" w14:textId="77777777" w:rsidR="00D23D36" w:rsidRDefault="00D23D36" w:rsidP="006E6594">
            <w:pPr>
              <w:pStyle w:val="ListParagraph"/>
              <w:ind w:left="0"/>
              <w:rPr>
                <w:lang w:val="en"/>
              </w:rPr>
            </w:pPr>
          </w:p>
          <w:p w14:paraId="6F40452D" w14:textId="77777777" w:rsidR="00D23D36" w:rsidRDefault="00D23D36" w:rsidP="006E6594">
            <w:pPr>
              <w:pStyle w:val="ListParagraph"/>
              <w:ind w:left="0"/>
              <w:rPr>
                <w:lang w:val="en"/>
              </w:rPr>
            </w:pPr>
          </w:p>
          <w:p w14:paraId="0FAAC24A" w14:textId="77777777" w:rsidR="00D23D36" w:rsidRDefault="00D23D36" w:rsidP="006E6594">
            <w:pPr>
              <w:pStyle w:val="ListParagraph"/>
              <w:ind w:left="0"/>
              <w:rPr>
                <w:lang w:val="en"/>
              </w:rPr>
            </w:pPr>
          </w:p>
          <w:p w14:paraId="24EC5CF0" w14:textId="77777777" w:rsidR="00D23D36" w:rsidRDefault="00D23D36" w:rsidP="006E6594">
            <w:pPr>
              <w:pStyle w:val="ListParagraph"/>
              <w:ind w:left="0"/>
              <w:rPr>
                <w:lang w:val="en"/>
              </w:rPr>
            </w:pPr>
          </w:p>
        </w:tc>
      </w:tr>
    </w:tbl>
    <w:p w14:paraId="05CD33E9" w14:textId="77777777" w:rsidR="00D23D36" w:rsidRPr="00F144C9" w:rsidRDefault="00D23D36" w:rsidP="0012282F">
      <w:pPr>
        <w:pStyle w:val="PlainText"/>
        <w:ind w:left="360"/>
        <w:rPr>
          <w:rFonts w:cs="Arial"/>
          <w:szCs w:val="24"/>
        </w:rPr>
      </w:pPr>
    </w:p>
    <w:p w14:paraId="10A706BB" w14:textId="77777777" w:rsidR="0012282F" w:rsidRPr="00F144C9" w:rsidRDefault="0012282F" w:rsidP="0012282F">
      <w:pPr>
        <w:pStyle w:val="PlainText"/>
        <w:numPr>
          <w:ilvl w:val="0"/>
          <w:numId w:val="20"/>
        </w:numPr>
        <w:rPr>
          <w:rFonts w:cs="Arial"/>
          <w:szCs w:val="24"/>
        </w:rPr>
      </w:pPr>
      <w:r w:rsidRPr="00F144C9">
        <w:rPr>
          <w:rFonts w:cs="Arial"/>
          <w:szCs w:val="24"/>
        </w:rPr>
        <w:t xml:space="preserve">Overall, the guidance is presented in an accessible manner, e.g. the content, style, and length make this a user-friendly and practical resource. </w:t>
      </w:r>
    </w:p>
    <w:p w14:paraId="72B9DE44" w14:textId="77777777" w:rsidR="0012282F" w:rsidRPr="00F144C9" w:rsidRDefault="0012282F" w:rsidP="0012282F">
      <w:pPr>
        <w:pStyle w:val="PlainText"/>
        <w:ind w:left="360"/>
        <w:rPr>
          <w:rFonts w:cs="Arial"/>
          <w:szCs w:val="24"/>
        </w:rPr>
      </w:pPr>
    </w:p>
    <w:p w14:paraId="618586EF" w14:textId="77777777" w:rsidR="00D23D36" w:rsidRPr="00D23D36" w:rsidRDefault="00D23D36" w:rsidP="00D23D36">
      <w:pPr>
        <w:ind w:left="720"/>
        <w:rPr>
          <w:lang w:val="en"/>
        </w:rPr>
      </w:pPr>
      <w:sdt>
        <w:sdtPr>
          <w:rPr>
            <w:lang w:val="en"/>
          </w:rPr>
          <w:id w:val="109528414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5A9664BA" w14:textId="77777777" w:rsidR="00D23D36" w:rsidRPr="00D23D36" w:rsidRDefault="00D23D36" w:rsidP="00D23D36">
      <w:pPr>
        <w:ind w:left="720"/>
        <w:rPr>
          <w:lang w:val="en"/>
        </w:rPr>
      </w:pPr>
      <w:sdt>
        <w:sdtPr>
          <w:rPr>
            <w:lang w:val="en"/>
          </w:rPr>
          <w:id w:val="-193674336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56A30E9B" w14:textId="77777777" w:rsidR="00D23D36" w:rsidRPr="00D23D36" w:rsidRDefault="00D23D36" w:rsidP="00D23D36">
      <w:pPr>
        <w:ind w:left="720"/>
        <w:rPr>
          <w:lang w:val="en"/>
        </w:rPr>
      </w:pPr>
      <w:sdt>
        <w:sdtPr>
          <w:rPr>
            <w:lang w:val="en"/>
          </w:rPr>
          <w:id w:val="-191553895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487444BF" w14:textId="77777777" w:rsidR="00D23D36" w:rsidRPr="00D23D36" w:rsidRDefault="00D23D36" w:rsidP="00D23D36">
      <w:pPr>
        <w:ind w:left="720"/>
        <w:rPr>
          <w:lang w:val="en"/>
        </w:rPr>
      </w:pPr>
      <w:sdt>
        <w:sdtPr>
          <w:rPr>
            <w:lang w:val="en"/>
          </w:rPr>
          <w:id w:val="-38803374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2F7E3791" w14:textId="77777777" w:rsidR="00D23D36" w:rsidRPr="00D23D36" w:rsidRDefault="00D23D36" w:rsidP="00D23D36">
      <w:pPr>
        <w:ind w:left="720"/>
        <w:rPr>
          <w:lang w:val="en"/>
        </w:rPr>
      </w:pPr>
      <w:sdt>
        <w:sdtPr>
          <w:rPr>
            <w:lang w:val="en"/>
          </w:rPr>
          <w:id w:val="-138987149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29A95EA8" w14:textId="77777777" w:rsidR="0012282F" w:rsidRDefault="0012282F" w:rsidP="0012282F">
      <w:pPr>
        <w:pStyle w:val="PlainText"/>
        <w:ind w:left="720"/>
        <w:rPr>
          <w:rFonts w:cs="Arial"/>
          <w:szCs w:val="24"/>
        </w:rPr>
      </w:pPr>
    </w:p>
    <w:p w14:paraId="0144E887" w14:textId="77777777" w:rsidR="00D23D36" w:rsidRPr="00F144C9" w:rsidRDefault="00D23D36" w:rsidP="0012282F">
      <w:pPr>
        <w:pStyle w:val="PlainText"/>
        <w:ind w:left="720"/>
        <w:rPr>
          <w:rFonts w:cs="Arial"/>
          <w:szCs w:val="24"/>
        </w:rPr>
      </w:pPr>
    </w:p>
    <w:p w14:paraId="61A12766" w14:textId="77777777" w:rsidR="0012282F" w:rsidRPr="00F144C9" w:rsidRDefault="0012282F" w:rsidP="0012282F">
      <w:pPr>
        <w:pStyle w:val="PlainText"/>
        <w:numPr>
          <w:ilvl w:val="0"/>
          <w:numId w:val="20"/>
        </w:numPr>
        <w:rPr>
          <w:rFonts w:cs="Arial"/>
          <w:szCs w:val="24"/>
        </w:rPr>
      </w:pPr>
      <w:r w:rsidRPr="00F144C9">
        <w:rPr>
          <w:rFonts w:cs="Arial"/>
          <w:szCs w:val="24"/>
        </w:rPr>
        <w:t>Overall, the guidance supports an improved understanding and ability to fulfil the duties under Part 2 of the Act.</w:t>
      </w:r>
    </w:p>
    <w:p w14:paraId="7E71621F" w14:textId="77777777" w:rsidR="0012282F" w:rsidRPr="00F144C9" w:rsidRDefault="0012282F" w:rsidP="0012282F">
      <w:pPr>
        <w:pStyle w:val="PlainText"/>
        <w:rPr>
          <w:rFonts w:cs="Arial"/>
          <w:szCs w:val="24"/>
        </w:rPr>
      </w:pPr>
    </w:p>
    <w:p w14:paraId="4CC558E5" w14:textId="77777777" w:rsidR="00D23D36" w:rsidRPr="00D23D36" w:rsidRDefault="00D23D36" w:rsidP="00D23D36">
      <w:pPr>
        <w:ind w:left="720"/>
        <w:rPr>
          <w:lang w:val="en"/>
        </w:rPr>
      </w:pPr>
      <w:sdt>
        <w:sdtPr>
          <w:rPr>
            <w:lang w:val="en"/>
          </w:rPr>
          <w:id w:val="-130338215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49F01970" w14:textId="77777777" w:rsidR="00D23D36" w:rsidRPr="00D23D36" w:rsidRDefault="00D23D36" w:rsidP="00D23D36">
      <w:pPr>
        <w:ind w:left="720"/>
        <w:rPr>
          <w:lang w:val="en"/>
        </w:rPr>
      </w:pPr>
      <w:sdt>
        <w:sdtPr>
          <w:rPr>
            <w:lang w:val="en"/>
          </w:rPr>
          <w:id w:val="25888482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1B0CCC22" w14:textId="77777777" w:rsidR="00D23D36" w:rsidRPr="00D23D36" w:rsidRDefault="00D23D36" w:rsidP="00D23D36">
      <w:pPr>
        <w:ind w:left="720"/>
        <w:rPr>
          <w:lang w:val="en"/>
        </w:rPr>
      </w:pPr>
      <w:sdt>
        <w:sdtPr>
          <w:rPr>
            <w:lang w:val="en"/>
          </w:rPr>
          <w:id w:val="-82590302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55000426" w14:textId="77777777" w:rsidR="00D23D36" w:rsidRPr="00D23D36" w:rsidRDefault="00D23D36" w:rsidP="00D23D36">
      <w:pPr>
        <w:ind w:left="720"/>
        <w:rPr>
          <w:lang w:val="en"/>
        </w:rPr>
      </w:pPr>
      <w:sdt>
        <w:sdtPr>
          <w:rPr>
            <w:lang w:val="en"/>
          </w:rPr>
          <w:id w:val="211593937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7CAC10CD" w14:textId="77777777" w:rsidR="00D23D36" w:rsidRPr="00D23D36" w:rsidRDefault="00D23D36" w:rsidP="00D23D36">
      <w:pPr>
        <w:ind w:left="720"/>
        <w:rPr>
          <w:lang w:val="en"/>
        </w:rPr>
      </w:pPr>
      <w:sdt>
        <w:sdtPr>
          <w:rPr>
            <w:lang w:val="en"/>
          </w:rPr>
          <w:id w:val="-100991567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7A4D9D6D" w14:textId="77777777" w:rsidR="0012282F" w:rsidRDefault="0012282F" w:rsidP="0012282F">
      <w:pPr>
        <w:pStyle w:val="PlainText"/>
        <w:rPr>
          <w:rFonts w:cs="Arial"/>
          <w:szCs w:val="24"/>
        </w:rPr>
      </w:pPr>
    </w:p>
    <w:p w14:paraId="523A4D8D" w14:textId="77777777" w:rsidR="00D23D36" w:rsidRPr="00F144C9" w:rsidRDefault="00D23D36" w:rsidP="0012282F">
      <w:pPr>
        <w:pStyle w:val="PlainText"/>
        <w:rPr>
          <w:rFonts w:cs="Arial"/>
          <w:szCs w:val="24"/>
        </w:rPr>
      </w:pPr>
    </w:p>
    <w:p w14:paraId="0E9D56DC" w14:textId="77777777" w:rsidR="0012282F" w:rsidRPr="00F144C9" w:rsidRDefault="0012282F" w:rsidP="0012282F">
      <w:pPr>
        <w:pStyle w:val="PlainText"/>
        <w:numPr>
          <w:ilvl w:val="0"/>
          <w:numId w:val="20"/>
        </w:numPr>
        <w:rPr>
          <w:rFonts w:cs="Arial"/>
          <w:szCs w:val="24"/>
        </w:rPr>
      </w:pPr>
      <w:r w:rsidRPr="00F144C9">
        <w:rPr>
          <w:rFonts w:cs="Arial"/>
          <w:szCs w:val="24"/>
        </w:rPr>
        <w:t>Are there any areas where you think the Part 2 guidance could be improved? Please cite specific parts of the guidance if relevant.</w:t>
      </w:r>
    </w:p>
    <w:p w14:paraId="4519FDEE" w14:textId="77777777" w:rsidR="0012282F" w:rsidRPr="00F144C9" w:rsidRDefault="0012282F" w:rsidP="0012282F">
      <w:pPr>
        <w:pStyle w:val="PlainText"/>
        <w:ind w:left="360"/>
        <w:rPr>
          <w:rFonts w:cs="Arial"/>
          <w:szCs w:val="24"/>
        </w:rPr>
      </w:pPr>
    </w:p>
    <w:p w14:paraId="5FDB55F5" w14:textId="6BD03F3D" w:rsidR="00D23D36" w:rsidRPr="00F144C9" w:rsidRDefault="00D23D36" w:rsidP="00D23D36">
      <w:pPr>
        <w:rPr>
          <w:rFonts w:cs="Arial"/>
          <w:szCs w:val="24"/>
          <w:lang w:val="en"/>
        </w:rPr>
      </w:pPr>
      <w:r>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D23D36" w14:paraId="4B5A8C96" w14:textId="77777777" w:rsidTr="006E6594">
        <w:tc>
          <w:tcPr>
            <w:tcW w:w="9016" w:type="dxa"/>
          </w:tcPr>
          <w:p w14:paraId="7C7D762F" w14:textId="77777777" w:rsidR="00D23D36" w:rsidRDefault="00D23D36" w:rsidP="006E6594">
            <w:pPr>
              <w:pStyle w:val="ListParagraph"/>
              <w:ind w:left="0"/>
              <w:rPr>
                <w:lang w:val="en"/>
              </w:rPr>
            </w:pPr>
          </w:p>
          <w:p w14:paraId="742BF5A3" w14:textId="77777777" w:rsidR="00D23D36" w:rsidRDefault="00D23D36" w:rsidP="006E6594">
            <w:pPr>
              <w:pStyle w:val="ListParagraph"/>
              <w:ind w:left="0"/>
              <w:rPr>
                <w:lang w:val="en"/>
              </w:rPr>
            </w:pPr>
          </w:p>
          <w:p w14:paraId="557B6520" w14:textId="77777777" w:rsidR="00D23D36" w:rsidRDefault="00D23D36" w:rsidP="006E6594">
            <w:pPr>
              <w:pStyle w:val="ListParagraph"/>
              <w:ind w:left="0"/>
              <w:rPr>
                <w:lang w:val="en"/>
              </w:rPr>
            </w:pPr>
          </w:p>
          <w:p w14:paraId="79E360A7" w14:textId="77777777" w:rsidR="00D23D36" w:rsidRDefault="00D23D36" w:rsidP="006E6594">
            <w:pPr>
              <w:pStyle w:val="ListParagraph"/>
              <w:ind w:left="0"/>
              <w:rPr>
                <w:lang w:val="en"/>
              </w:rPr>
            </w:pPr>
          </w:p>
          <w:p w14:paraId="22FFD351" w14:textId="77777777" w:rsidR="00D23D36" w:rsidRDefault="00D23D36" w:rsidP="006E6594">
            <w:pPr>
              <w:pStyle w:val="ListParagraph"/>
              <w:ind w:left="0"/>
              <w:rPr>
                <w:lang w:val="en"/>
              </w:rPr>
            </w:pPr>
          </w:p>
        </w:tc>
      </w:tr>
    </w:tbl>
    <w:p w14:paraId="60F47200" w14:textId="77777777" w:rsidR="0012282F" w:rsidRPr="00F144C9" w:rsidRDefault="0012282F" w:rsidP="0012282F">
      <w:pPr>
        <w:pStyle w:val="PlainText"/>
        <w:rPr>
          <w:rFonts w:cs="Arial"/>
          <w:szCs w:val="24"/>
        </w:rPr>
      </w:pPr>
    </w:p>
    <w:p w14:paraId="128D55DB" w14:textId="77777777" w:rsidR="00D23D36" w:rsidRDefault="00D23D36" w:rsidP="0012282F">
      <w:pPr>
        <w:pStyle w:val="PlainText"/>
        <w:rPr>
          <w:rFonts w:cs="Arial"/>
          <w:b/>
          <w:szCs w:val="24"/>
        </w:rPr>
      </w:pPr>
    </w:p>
    <w:p w14:paraId="1CC65227" w14:textId="21BE09DE" w:rsidR="0012282F" w:rsidRPr="00F144C9" w:rsidRDefault="0012282F" w:rsidP="0012282F">
      <w:pPr>
        <w:pStyle w:val="PlainText"/>
        <w:rPr>
          <w:rFonts w:cs="Arial"/>
          <w:b/>
          <w:szCs w:val="24"/>
        </w:rPr>
      </w:pPr>
      <w:r w:rsidRPr="00F144C9">
        <w:rPr>
          <w:rFonts w:cs="Arial"/>
          <w:b/>
          <w:szCs w:val="24"/>
        </w:rPr>
        <w:t>Part 3 Guidance</w:t>
      </w:r>
    </w:p>
    <w:p w14:paraId="7F4A6813" w14:textId="77777777" w:rsidR="0012282F" w:rsidRPr="00F144C9" w:rsidRDefault="0012282F" w:rsidP="0012282F">
      <w:pPr>
        <w:pStyle w:val="PlainText"/>
        <w:rPr>
          <w:rFonts w:cs="Arial"/>
          <w:b/>
          <w:szCs w:val="24"/>
        </w:rPr>
      </w:pPr>
    </w:p>
    <w:p w14:paraId="64878CCC" w14:textId="77777777" w:rsidR="0012282F" w:rsidRPr="00F144C9" w:rsidRDefault="0012282F" w:rsidP="0012282F">
      <w:pPr>
        <w:pStyle w:val="PlainText"/>
        <w:rPr>
          <w:rFonts w:cs="Arial"/>
          <w:szCs w:val="24"/>
        </w:rPr>
      </w:pPr>
      <w:r w:rsidRPr="00F144C9">
        <w:rPr>
          <w:rFonts w:cs="Arial"/>
          <w:szCs w:val="24"/>
        </w:rPr>
        <w:t>The following consultation questions 14-20, relate to the draft statutory guidance on Part 3 (section 18) of the UNCRC Act. This is particularly relevant to public authorities listed in section 19 of the Act.</w:t>
      </w:r>
    </w:p>
    <w:p w14:paraId="3F315D87" w14:textId="77777777" w:rsidR="0012282F" w:rsidRPr="00F144C9" w:rsidRDefault="0012282F" w:rsidP="0012282F">
      <w:pPr>
        <w:pStyle w:val="PlainText"/>
        <w:rPr>
          <w:rFonts w:cs="Arial"/>
          <w:szCs w:val="24"/>
        </w:rPr>
      </w:pPr>
    </w:p>
    <w:p w14:paraId="63DDE1B4" w14:textId="77777777" w:rsidR="0012282F" w:rsidRPr="00F144C9" w:rsidRDefault="0012282F" w:rsidP="0012282F">
      <w:pPr>
        <w:pStyle w:val="PlainText"/>
        <w:numPr>
          <w:ilvl w:val="0"/>
          <w:numId w:val="20"/>
        </w:numPr>
        <w:rPr>
          <w:rFonts w:cs="Arial"/>
          <w:szCs w:val="24"/>
        </w:rPr>
      </w:pPr>
      <w:r w:rsidRPr="00F144C9">
        <w:rPr>
          <w:rFonts w:cs="Arial"/>
          <w:szCs w:val="24"/>
        </w:rPr>
        <w:t xml:space="preserve">I have read the draft statutory guidance on Part 3 (section 18) of the UNCRC Act </w:t>
      </w:r>
    </w:p>
    <w:p w14:paraId="5228922D" w14:textId="77777777" w:rsidR="0012282F" w:rsidRPr="00F144C9" w:rsidRDefault="0012282F" w:rsidP="0012282F">
      <w:pPr>
        <w:pStyle w:val="PlainText"/>
        <w:rPr>
          <w:rFonts w:cs="Arial"/>
          <w:szCs w:val="24"/>
        </w:rPr>
      </w:pPr>
    </w:p>
    <w:p w14:paraId="6797F9A7" w14:textId="77777777" w:rsidR="00D23D36" w:rsidRPr="00F144C9" w:rsidRDefault="00D23D36" w:rsidP="00D23D36">
      <w:pPr>
        <w:pStyle w:val="PlainText"/>
        <w:ind w:left="720"/>
        <w:rPr>
          <w:rFonts w:cs="Arial"/>
          <w:szCs w:val="24"/>
        </w:rPr>
      </w:pPr>
      <w:sdt>
        <w:sdtPr>
          <w:rPr>
            <w:rFonts w:cs="Arial"/>
            <w:szCs w:val="24"/>
          </w:rPr>
          <w:id w:val="149105488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F144C9">
        <w:rPr>
          <w:rFonts w:cs="Arial"/>
          <w:szCs w:val="24"/>
        </w:rPr>
        <w:t xml:space="preserve">Yes </w:t>
      </w:r>
    </w:p>
    <w:p w14:paraId="4C516ED5" w14:textId="77777777" w:rsidR="00D23D36" w:rsidRDefault="00D23D36" w:rsidP="00D23D36">
      <w:pPr>
        <w:pStyle w:val="PlainText"/>
        <w:ind w:left="720"/>
        <w:rPr>
          <w:rFonts w:cs="Arial"/>
          <w:szCs w:val="24"/>
        </w:rPr>
      </w:pPr>
      <w:sdt>
        <w:sdtPr>
          <w:rPr>
            <w:rFonts w:cs="Arial"/>
            <w:szCs w:val="24"/>
          </w:rPr>
          <w:id w:val="-206108689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F144C9">
        <w:rPr>
          <w:rFonts w:cs="Arial"/>
          <w:szCs w:val="24"/>
        </w:rPr>
        <w:t>No</w:t>
      </w:r>
    </w:p>
    <w:p w14:paraId="1C074A1A" w14:textId="77777777" w:rsidR="0012282F" w:rsidRPr="00F144C9" w:rsidRDefault="0012282F" w:rsidP="0012282F">
      <w:pPr>
        <w:pStyle w:val="PlainText"/>
        <w:rPr>
          <w:rFonts w:cs="Arial"/>
          <w:szCs w:val="24"/>
        </w:rPr>
      </w:pPr>
    </w:p>
    <w:p w14:paraId="5EB28B54" w14:textId="77777777" w:rsidR="0012282F" w:rsidRPr="00F144C9" w:rsidRDefault="0012282F" w:rsidP="0012282F">
      <w:pPr>
        <w:pStyle w:val="PlainText"/>
        <w:rPr>
          <w:rFonts w:cs="Arial"/>
          <w:szCs w:val="24"/>
          <w:highlight w:val="yellow"/>
        </w:rPr>
      </w:pPr>
    </w:p>
    <w:p w14:paraId="02980517" w14:textId="77777777" w:rsidR="0012282F" w:rsidRPr="00F144C9" w:rsidRDefault="0012282F" w:rsidP="0012282F">
      <w:pPr>
        <w:pStyle w:val="PlainText"/>
        <w:numPr>
          <w:ilvl w:val="0"/>
          <w:numId w:val="20"/>
        </w:numPr>
        <w:rPr>
          <w:rFonts w:cs="Arial"/>
          <w:szCs w:val="24"/>
        </w:rPr>
      </w:pPr>
      <w:r w:rsidRPr="00F144C9">
        <w:rPr>
          <w:rFonts w:cs="Arial"/>
          <w:szCs w:val="24"/>
        </w:rPr>
        <w:t>Section 4, ‘</w:t>
      </w:r>
      <w:r w:rsidRPr="00F144C9">
        <w:rPr>
          <w:rFonts w:cs="Arial"/>
          <w:b/>
          <w:color w:val="000000" w:themeColor="text1"/>
          <w:szCs w:val="24"/>
        </w:rPr>
        <w:t>Reporting duties of listed authorities’</w:t>
      </w:r>
      <w:r w:rsidRPr="00F144C9" w:rsidDel="002D32B6">
        <w:rPr>
          <w:rFonts w:cs="Arial"/>
          <w:szCs w:val="24"/>
        </w:rPr>
        <w:t xml:space="preserve"> </w:t>
      </w:r>
      <w:r w:rsidRPr="00F144C9">
        <w:rPr>
          <w:rFonts w:cs="Arial"/>
          <w:szCs w:val="24"/>
        </w:rPr>
        <w:t xml:space="preserve"> is sufficiently clear on the reporting requirements under Part 3 of the Act.</w:t>
      </w:r>
    </w:p>
    <w:p w14:paraId="1D07E23A" w14:textId="77777777" w:rsidR="0012282F" w:rsidRPr="00F144C9" w:rsidRDefault="0012282F" w:rsidP="0012282F">
      <w:pPr>
        <w:pStyle w:val="PlainText"/>
        <w:ind w:left="720"/>
        <w:rPr>
          <w:rFonts w:cs="Arial"/>
          <w:szCs w:val="24"/>
        </w:rPr>
      </w:pPr>
    </w:p>
    <w:p w14:paraId="71292ED7" w14:textId="77777777" w:rsidR="00183D0F" w:rsidRPr="00D23D36" w:rsidRDefault="00183D0F" w:rsidP="00183D0F">
      <w:pPr>
        <w:ind w:left="720"/>
        <w:rPr>
          <w:lang w:val="en"/>
        </w:rPr>
      </w:pPr>
      <w:sdt>
        <w:sdtPr>
          <w:rPr>
            <w:lang w:val="en"/>
          </w:rPr>
          <w:id w:val="93225418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53F6DDE6" w14:textId="77777777" w:rsidR="00183D0F" w:rsidRPr="00D23D36" w:rsidRDefault="00183D0F" w:rsidP="00183D0F">
      <w:pPr>
        <w:ind w:left="720"/>
        <w:rPr>
          <w:lang w:val="en"/>
        </w:rPr>
      </w:pPr>
      <w:sdt>
        <w:sdtPr>
          <w:rPr>
            <w:lang w:val="en"/>
          </w:rPr>
          <w:id w:val="-140999342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40AB9AB2" w14:textId="77777777" w:rsidR="00183D0F" w:rsidRPr="00D23D36" w:rsidRDefault="00183D0F" w:rsidP="00183D0F">
      <w:pPr>
        <w:ind w:left="720"/>
        <w:rPr>
          <w:lang w:val="en"/>
        </w:rPr>
      </w:pPr>
      <w:sdt>
        <w:sdtPr>
          <w:rPr>
            <w:lang w:val="en"/>
          </w:rPr>
          <w:id w:val="1748069395"/>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125A65D9" w14:textId="77777777" w:rsidR="00183D0F" w:rsidRPr="00D23D36" w:rsidRDefault="00183D0F" w:rsidP="00183D0F">
      <w:pPr>
        <w:ind w:left="720"/>
        <w:rPr>
          <w:lang w:val="en"/>
        </w:rPr>
      </w:pPr>
      <w:sdt>
        <w:sdtPr>
          <w:rPr>
            <w:lang w:val="en"/>
          </w:rPr>
          <w:id w:val="161170068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3101FEBD" w14:textId="77777777" w:rsidR="00183D0F" w:rsidRPr="00D23D36" w:rsidRDefault="00183D0F" w:rsidP="00183D0F">
      <w:pPr>
        <w:ind w:left="720"/>
        <w:rPr>
          <w:lang w:val="en"/>
        </w:rPr>
      </w:pPr>
      <w:sdt>
        <w:sdtPr>
          <w:rPr>
            <w:lang w:val="en"/>
          </w:rPr>
          <w:id w:val="62466219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34966863" w14:textId="77777777" w:rsidR="00183D0F" w:rsidRPr="00F144C9" w:rsidRDefault="00183D0F" w:rsidP="00183D0F">
      <w:pPr>
        <w:rPr>
          <w:rFonts w:cs="Arial"/>
          <w:szCs w:val="24"/>
          <w:lang w:val="en"/>
        </w:rPr>
      </w:pPr>
    </w:p>
    <w:p w14:paraId="092F5BA2" w14:textId="77777777" w:rsidR="00183D0F" w:rsidRPr="00F144C9" w:rsidRDefault="00183D0F" w:rsidP="00183D0F">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183D0F" w14:paraId="45A5317D" w14:textId="77777777" w:rsidTr="006E6594">
        <w:tc>
          <w:tcPr>
            <w:tcW w:w="9016" w:type="dxa"/>
          </w:tcPr>
          <w:p w14:paraId="78DB1C22" w14:textId="77777777" w:rsidR="00183D0F" w:rsidRDefault="00183D0F" w:rsidP="006E6594">
            <w:pPr>
              <w:pStyle w:val="ListParagraph"/>
              <w:ind w:left="0"/>
              <w:rPr>
                <w:lang w:val="en"/>
              </w:rPr>
            </w:pPr>
          </w:p>
          <w:p w14:paraId="08D32CBB" w14:textId="77777777" w:rsidR="00183D0F" w:rsidRDefault="00183D0F" w:rsidP="006E6594">
            <w:pPr>
              <w:pStyle w:val="ListParagraph"/>
              <w:ind w:left="0"/>
              <w:rPr>
                <w:lang w:val="en"/>
              </w:rPr>
            </w:pPr>
          </w:p>
          <w:p w14:paraId="2867B676" w14:textId="77777777" w:rsidR="00183D0F" w:rsidRDefault="00183D0F" w:rsidP="006E6594">
            <w:pPr>
              <w:pStyle w:val="ListParagraph"/>
              <w:ind w:left="0"/>
              <w:rPr>
                <w:lang w:val="en"/>
              </w:rPr>
            </w:pPr>
          </w:p>
          <w:p w14:paraId="2DCF8D02" w14:textId="77777777" w:rsidR="00183D0F" w:rsidRDefault="00183D0F" w:rsidP="006E6594">
            <w:pPr>
              <w:pStyle w:val="ListParagraph"/>
              <w:ind w:left="0"/>
              <w:rPr>
                <w:lang w:val="en"/>
              </w:rPr>
            </w:pPr>
          </w:p>
          <w:p w14:paraId="0E614BCA" w14:textId="77777777" w:rsidR="00183D0F" w:rsidRDefault="00183D0F" w:rsidP="006E6594">
            <w:pPr>
              <w:pStyle w:val="ListParagraph"/>
              <w:ind w:left="0"/>
              <w:rPr>
                <w:lang w:val="en"/>
              </w:rPr>
            </w:pPr>
          </w:p>
        </w:tc>
      </w:tr>
    </w:tbl>
    <w:p w14:paraId="71754D65" w14:textId="77777777" w:rsidR="0012282F" w:rsidRDefault="0012282F" w:rsidP="0012282F">
      <w:pPr>
        <w:pStyle w:val="PlainText"/>
        <w:ind w:left="720"/>
        <w:rPr>
          <w:rFonts w:cs="Arial"/>
          <w:szCs w:val="24"/>
        </w:rPr>
      </w:pPr>
    </w:p>
    <w:p w14:paraId="5A8DABE7" w14:textId="77777777" w:rsidR="00183D0F" w:rsidRPr="00F144C9" w:rsidRDefault="00183D0F" w:rsidP="0012282F">
      <w:pPr>
        <w:pStyle w:val="PlainText"/>
        <w:ind w:left="720"/>
        <w:rPr>
          <w:rFonts w:cs="Arial"/>
          <w:szCs w:val="24"/>
        </w:rPr>
      </w:pPr>
    </w:p>
    <w:p w14:paraId="3C270B56" w14:textId="77777777" w:rsidR="0012282F" w:rsidRPr="00F144C9" w:rsidRDefault="0012282F" w:rsidP="0012282F">
      <w:pPr>
        <w:pStyle w:val="PlainText"/>
        <w:numPr>
          <w:ilvl w:val="0"/>
          <w:numId w:val="20"/>
        </w:numPr>
        <w:rPr>
          <w:rFonts w:cs="Arial"/>
          <w:szCs w:val="24"/>
        </w:rPr>
      </w:pPr>
      <w:r w:rsidRPr="00F144C9">
        <w:rPr>
          <w:rFonts w:cs="Arial"/>
          <w:szCs w:val="24"/>
        </w:rPr>
        <w:t>Section 5, ‘</w:t>
      </w:r>
      <w:r w:rsidRPr="00F144C9">
        <w:rPr>
          <w:rStyle w:val="eop"/>
          <w:rFonts w:cs="Arial"/>
          <w:b/>
          <w:color w:val="000000" w:themeColor="text1"/>
          <w:szCs w:val="24"/>
        </w:rPr>
        <w:t>Publication requirements of reports’</w:t>
      </w:r>
      <w:r w:rsidRPr="00F144C9">
        <w:rPr>
          <w:rFonts w:cs="Arial"/>
          <w:szCs w:val="24"/>
        </w:rPr>
        <w:t xml:space="preserve"> is sufficiently clear on the publication requirements under Part 3 of the Act.</w:t>
      </w:r>
    </w:p>
    <w:p w14:paraId="40EAAE98" w14:textId="77777777" w:rsidR="0012282F" w:rsidRPr="00F144C9" w:rsidRDefault="0012282F" w:rsidP="0012282F">
      <w:pPr>
        <w:pStyle w:val="PlainText"/>
        <w:ind w:left="1080"/>
        <w:rPr>
          <w:rFonts w:cs="Arial"/>
          <w:szCs w:val="24"/>
        </w:rPr>
      </w:pPr>
    </w:p>
    <w:p w14:paraId="16CFA1FE" w14:textId="5586510F" w:rsidR="00183D0F" w:rsidRPr="00D23D36" w:rsidRDefault="00183D0F" w:rsidP="00183D0F">
      <w:pPr>
        <w:ind w:left="720"/>
        <w:rPr>
          <w:lang w:val="en"/>
        </w:rPr>
      </w:pPr>
      <w:sdt>
        <w:sdtPr>
          <w:rPr>
            <w:lang w:val="en"/>
          </w:rPr>
          <w:id w:val="269588369"/>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368649E4" w14:textId="77777777" w:rsidR="00183D0F" w:rsidRPr="00D23D36" w:rsidRDefault="00183D0F" w:rsidP="00183D0F">
      <w:pPr>
        <w:ind w:left="720"/>
        <w:rPr>
          <w:lang w:val="en"/>
        </w:rPr>
      </w:pPr>
      <w:sdt>
        <w:sdtPr>
          <w:rPr>
            <w:lang w:val="en"/>
          </w:rPr>
          <w:id w:val="-33847001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58CD87A5" w14:textId="77777777" w:rsidR="00183D0F" w:rsidRPr="00D23D36" w:rsidRDefault="00183D0F" w:rsidP="00183D0F">
      <w:pPr>
        <w:ind w:left="720"/>
        <w:rPr>
          <w:lang w:val="en"/>
        </w:rPr>
      </w:pPr>
      <w:sdt>
        <w:sdtPr>
          <w:rPr>
            <w:lang w:val="en"/>
          </w:rPr>
          <w:id w:val="-179442753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5FD99A48" w14:textId="77777777" w:rsidR="00183D0F" w:rsidRPr="00D23D36" w:rsidRDefault="00183D0F" w:rsidP="00183D0F">
      <w:pPr>
        <w:ind w:left="720"/>
        <w:rPr>
          <w:lang w:val="en"/>
        </w:rPr>
      </w:pPr>
      <w:sdt>
        <w:sdtPr>
          <w:rPr>
            <w:lang w:val="en"/>
          </w:rPr>
          <w:id w:val="135661772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3A00B817" w14:textId="77777777" w:rsidR="00183D0F" w:rsidRPr="00D23D36" w:rsidRDefault="00183D0F" w:rsidP="00183D0F">
      <w:pPr>
        <w:ind w:left="720"/>
        <w:rPr>
          <w:lang w:val="en"/>
        </w:rPr>
      </w:pPr>
      <w:sdt>
        <w:sdtPr>
          <w:rPr>
            <w:lang w:val="en"/>
          </w:rPr>
          <w:id w:val="138968026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48A30E77" w14:textId="77777777" w:rsidR="00183D0F" w:rsidRPr="00F144C9" w:rsidRDefault="00183D0F" w:rsidP="00183D0F">
      <w:pPr>
        <w:rPr>
          <w:rFonts w:cs="Arial"/>
          <w:szCs w:val="24"/>
          <w:lang w:val="en"/>
        </w:rPr>
      </w:pPr>
    </w:p>
    <w:p w14:paraId="326EC957" w14:textId="77777777" w:rsidR="00183D0F" w:rsidRPr="00F144C9" w:rsidRDefault="00183D0F" w:rsidP="00183D0F">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183D0F" w14:paraId="3ABBAFCF" w14:textId="77777777" w:rsidTr="006E6594">
        <w:tc>
          <w:tcPr>
            <w:tcW w:w="9016" w:type="dxa"/>
          </w:tcPr>
          <w:p w14:paraId="5F2EEDD6" w14:textId="77777777" w:rsidR="00183D0F" w:rsidRDefault="00183D0F" w:rsidP="006E6594">
            <w:pPr>
              <w:pStyle w:val="ListParagraph"/>
              <w:ind w:left="0"/>
              <w:rPr>
                <w:lang w:val="en"/>
              </w:rPr>
            </w:pPr>
          </w:p>
          <w:p w14:paraId="266725C7" w14:textId="77777777" w:rsidR="00183D0F" w:rsidRDefault="00183D0F" w:rsidP="006E6594">
            <w:pPr>
              <w:pStyle w:val="ListParagraph"/>
              <w:ind w:left="0"/>
              <w:rPr>
                <w:lang w:val="en"/>
              </w:rPr>
            </w:pPr>
          </w:p>
          <w:p w14:paraId="5E210082" w14:textId="77777777" w:rsidR="00183D0F" w:rsidRDefault="00183D0F" w:rsidP="006E6594">
            <w:pPr>
              <w:pStyle w:val="ListParagraph"/>
              <w:ind w:left="0"/>
              <w:rPr>
                <w:lang w:val="en"/>
              </w:rPr>
            </w:pPr>
          </w:p>
          <w:p w14:paraId="331D646D" w14:textId="77777777" w:rsidR="00183D0F" w:rsidRDefault="00183D0F" w:rsidP="006E6594">
            <w:pPr>
              <w:pStyle w:val="ListParagraph"/>
              <w:ind w:left="0"/>
              <w:rPr>
                <w:lang w:val="en"/>
              </w:rPr>
            </w:pPr>
          </w:p>
          <w:p w14:paraId="09A28457" w14:textId="77777777" w:rsidR="00183D0F" w:rsidRDefault="00183D0F" w:rsidP="006E6594">
            <w:pPr>
              <w:pStyle w:val="ListParagraph"/>
              <w:ind w:left="0"/>
              <w:rPr>
                <w:lang w:val="en"/>
              </w:rPr>
            </w:pPr>
          </w:p>
        </w:tc>
      </w:tr>
    </w:tbl>
    <w:p w14:paraId="79E505CD" w14:textId="77777777" w:rsidR="0012282F" w:rsidRPr="00F144C9" w:rsidRDefault="0012282F" w:rsidP="0012282F">
      <w:pPr>
        <w:pStyle w:val="PlainText"/>
        <w:ind w:left="720"/>
        <w:rPr>
          <w:rFonts w:cs="Arial"/>
          <w:szCs w:val="24"/>
        </w:rPr>
      </w:pPr>
    </w:p>
    <w:p w14:paraId="621C7DC2" w14:textId="77777777" w:rsidR="0012282F" w:rsidRPr="00F144C9" w:rsidRDefault="0012282F" w:rsidP="0012282F">
      <w:pPr>
        <w:pStyle w:val="PlainText"/>
        <w:ind w:left="360"/>
        <w:rPr>
          <w:rFonts w:cs="Arial"/>
          <w:szCs w:val="24"/>
        </w:rPr>
      </w:pPr>
    </w:p>
    <w:p w14:paraId="7A117814" w14:textId="77777777" w:rsidR="0012282F" w:rsidRPr="00F144C9" w:rsidRDefault="0012282F" w:rsidP="0012282F">
      <w:pPr>
        <w:pStyle w:val="PlainText"/>
        <w:numPr>
          <w:ilvl w:val="0"/>
          <w:numId w:val="20"/>
        </w:numPr>
        <w:rPr>
          <w:rFonts w:cs="Arial"/>
          <w:szCs w:val="24"/>
        </w:rPr>
      </w:pPr>
      <w:r w:rsidRPr="00F144C9">
        <w:rPr>
          <w:rFonts w:cs="Arial"/>
          <w:szCs w:val="24"/>
        </w:rPr>
        <w:t>Section 6, ‘</w:t>
      </w:r>
      <w:r w:rsidRPr="00F144C9">
        <w:rPr>
          <w:rFonts w:cs="Arial"/>
          <w:b/>
          <w:szCs w:val="24"/>
        </w:rPr>
        <w:t xml:space="preserve">Policy intention of children’s rights reports under section 18 of the Act’, </w:t>
      </w:r>
      <w:r w:rsidRPr="00F144C9">
        <w:rPr>
          <w:rFonts w:cs="Arial"/>
          <w:szCs w:val="24"/>
        </w:rPr>
        <w:t xml:space="preserve"> clearly explains how the reporting process contributes to progressing children’s rights.</w:t>
      </w:r>
    </w:p>
    <w:p w14:paraId="0B389A18" w14:textId="77777777" w:rsidR="0012282F" w:rsidRPr="00F144C9" w:rsidRDefault="0012282F" w:rsidP="0012282F">
      <w:pPr>
        <w:pStyle w:val="PlainText"/>
        <w:rPr>
          <w:rFonts w:cs="Arial"/>
          <w:szCs w:val="24"/>
          <w:highlight w:val="yellow"/>
        </w:rPr>
      </w:pPr>
    </w:p>
    <w:p w14:paraId="68C078A6" w14:textId="77777777" w:rsidR="00183D0F" w:rsidRPr="00D23D36" w:rsidRDefault="00183D0F" w:rsidP="00183D0F">
      <w:pPr>
        <w:ind w:left="720"/>
        <w:rPr>
          <w:lang w:val="en"/>
        </w:rPr>
      </w:pPr>
      <w:sdt>
        <w:sdtPr>
          <w:rPr>
            <w:lang w:val="en"/>
          </w:rPr>
          <w:id w:val="-28311427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3AE154B1" w14:textId="77777777" w:rsidR="00183D0F" w:rsidRPr="00D23D36" w:rsidRDefault="00183D0F" w:rsidP="00183D0F">
      <w:pPr>
        <w:ind w:left="720"/>
        <w:rPr>
          <w:lang w:val="en"/>
        </w:rPr>
      </w:pPr>
      <w:sdt>
        <w:sdtPr>
          <w:rPr>
            <w:lang w:val="en"/>
          </w:rPr>
          <w:id w:val="190002174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717AE2B7" w14:textId="77777777" w:rsidR="00183D0F" w:rsidRPr="00D23D36" w:rsidRDefault="00183D0F" w:rsidP="00183D0F">
      <w:pPr>
        <w:ind w:left="720"/>
        <w:rPr>
          <w:lang w:val="en"/>
        </w:rPr>
      </w:pPr>
      <w:sdt>
        <w:sdtPr>
          <w:rPr>
            <w:lang w:val="en"/>
          </w:rPr>
          <w:id w:val="80675344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12586D36" w14:textId="77777777" w:rsidR="00183D0F" w:rsidRPr="00D23D36" w:rsidRDefault="00183D0F" w:rsidP="00183D0F">
      <w:pPr>
        <w:ind w:left="720"/>
        <w:rPr>
          <w:lang w:val="en"/>
        </w:rPr>
      </w:pPr>
      <w:sdt>
        <w:sdtPr>
          <w:rPr>
            <w:lang w:val="en"/>
          </w:rPr>
          <w:id w:val="-131686441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6562654A" w14:textId="77777777" w:rsidR="00183D0F" w:rsidRPr="00D23D36" w:rsidRDefault="00183D0F" w:rsidP="00183D0F">
      <w:pPr>
        <w:ind w:left="720"/>
        <w:rPr>
          <w:lang w:val="en"/>
        </w:rPr>
      </w:pPr>
      <w:sdt>
        <w:sdtPr>
          <w:rPr>
            <w:lang w:val="en"/>
          </w:rPr>
          <w:id w:val="-172906784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75661E2E" w14:textId="77777777" w:rsidR="0012282F" w:rsidRPr="00F144C9" w:rsidRDefault="0012282F" w:rsidP="0012282F">
      <w:pPr>
        <w:pStyle w:val="PlainText"/>
        <w:ind w:left="720"/>
        <w:rPr>
          <w:rFonts w:cs="Arial"/>
          <w:szCs w:val="24"/>
        </w:rPr>
      </w:pPr>
    </w:p>
    <w:p w14:paraId="69A0C6DD" w14:textId="77777777" w:rsidR="0012282F" w:rsidRPr="00F144C9" w:rsidRDefault="0012282F" w:rsidP="0012282F">
      <w:pPr>
        <w:pStyle w:val="PlainText"/>
        <w:ind w:left="720"/>
        <w:rPr>
          <w:rFonts w:cs="Arial"/>
          <w:szCs w:val="24"/>
        </w:rPr>
      </w:pPr>
    </w:p>
    <w:p w14:paraId="57FA0BBD" w14:textId="77777777" w:rsidR="0012282F" w:rsidRPr="00F144C9" w:rsidRDefault="0012282F" w:rsidP="0012282F">
      <w:pPr>
        <w:pStyle w:val="ListParagraph"/>
        <w:numPr>
          <w:ilvl w:val="0"/>
          <w:numId w:val="20"/>
        </w:numPr>
        <w:rPr>
          <w:lang w:val="en"/>
        </w:rPr>
      </w:pPr>
      <w:r w:rsidRPr="00F144C9">
        <w:t xml:space="preserve">Annexes B.1 – B.4 </w:t>
      </w:r>
      <w:r w:rsidRPr="00F144C9">
        <w:rPr>
          <w:rStyle w:val="eop"/>
          <w:b/>
          <w:color w:val="000000" w:themeColor="text1"/>
        </w:rPr>
        <w:t>Frameworks for children’s rights reporting</w:t>
      </w:r>
      <w:r w:rsidRPr="00F144C9">
        <w:t xml:space="preserve"> are helpful. </w:t>
      </w:r>
    </w:p>
    <w:p w14:paraId="2EA12A60" w14:textId="77777777" w:rsidR="0012282F" w:rsidRPr="00F144C9" w:rsidRDefault="0012282F" w:rsidP="0012282F">
      <w:pPr>
        <w:pStyle w:val="ListParagraph"/>
        <w:rPr>
          <w:lang w:val="en"/>
        </w:rPr>
      </w:pPr>
    </w:p>
    <w:p w14:paraId="4DEC294F" w14:textId="77777777" w:rsidR="00183D0F" w:rsidRPr="00D23D36" w:rsidRDefault="00183D0F" w:rsidP="00183D0F">
      <w:pPr>
        <w:ind w:left="720"/>
        <w:rPr>
          <w:lang w:val="en"/>
        </w:rPr>
      </w:pPr>
      <w:sdt>
        <w:sdtPr>
          <w:rPr>
            <w:lang w:val="en"/>
          </w:rPr>
          <w:id w:val="-861208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77F9A100" w14:textId="77777777" w:rsidR="00183D0F" w:rsidRPr="00D23D36" w:rsidRDefault="00183D0F" w:rsidP="00183D0F">
      <w:pPr>
        <w:ind w:left="720"/>
        <w:rPr>
          <w:lang w:val="en"/>
        </w:rPr>
      </w:pPr>
      <w:sdt>
        <w:sdtPr>
          <w:rPr>
            <w:lang w:val="en"/>
          </w:rPr>
          <w:id w:val="-1667247731"/>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3EA26D05" w14:textId="77777777" w:rsidR="00183D0F" w:rsidRPr="00D23D36" w:rsidRDefault="00183D0F" w:rsidP="00183D0F">
      <w:pPr>
        <w:ind w:left="720"/>
        <w:rPr>
          <w:lang w:val="en"/>
        </w:rPr>
      </w:pPr>
      <w:sdt>
        <w:sdtPr>
          <w:rPr>
            <w:lang w:val="en"/>
          </w:rPr>
          <w:id w:val="-200558287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783D2192" w14:textId="77777777" w:rsidR="00183D0F" w:rsidRPr="00D23D36" w:rsidRDefault="00183D0F" w:rsidP="00183D0F">
      <w:pPr>
        <w:ind w:left="720"/>
        <w:rPr>
          <w:lang w:val="en"/>
        </w:rPr>
      </w:pPr>
      <w:sdt>
        <w:sdtPr>
          <w:rPr>
            <w:lang w:val="en"/>
          </w:rPr>
          <w:id w:val="-624005613"/>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5C3DC630" w14:textId="77777777" w:rsidR="00183D0F" w:rsidRPr="00D23D36" w:rsidRDefault="00183D0F" w:rsidP="00183D0F">
      <w:pPr>
        <w:ind w:left="720"/>
        <w:rPr>
          <w:lang w:val="en"/>
        </w:rPr>
      </w:pPr>
      <w:sdt>
        <w:sdtPr>
          <w:rPr>
            <w:lang w:val="en"/>
          </w:rPr>
          <w:id w:val="38315044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48E90BDC" w14:textId="77777777" w:rsidR="00183D0F" w:rsidRPr="00F144C9" w:rsidRDefault="00183D0F" w:rsidP="00183D0F">
      <w:pPr>
        <w:rPr>
          <w:rFonts w:cs="Arial"/>
          <w:szCs w:val="24"/>
          <w:lang w:val="en"/>
        </w:rPr>
      </w:pPr>
    </w:p>
    <w:p w14:paraId="2F78CA65" w14:textId="77777777" w:rsidR="00183D0F" w:rsidRPr="00F144C9" w:rsidRDefault="00183D0F" w:rsidP="00183D0F">
      <w:pPr>
        <w:rPr>
          <w:rFonts w:cs="Arial"/>
          <w:szCs w:val="24"/>
          <w:lang w:val="en"/>
        </w:rPr>
      </w:pPr>
      <w:r w:rsidRPr="00F144C9">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183D0F" w14:paraId="73A90E28" w14:textId="77777777" w:rsidTr="006E6594">
        <w:tc>
          <w:tcPr>
            <w:tcW w:w="9016" w:type="dxa"/>
          </w:tcPr>
          <w:p w14:paraId="47F94581" w14:textId="77777777" w:rsidR="00183D0F" w:rsidRDefault="00183D0F" w:rsidP="006E6594">
            <w:pPr>
              <w:pStyle w:val="ListParagraph"/>
              <w:ind w:left="0"/>
              <w:rPr>
                <w:lang w:val="en"/>
              </w:rPr>
            </w:pPr>
          </w:p>
          <w:p w14:paraId="40EC4446" w14:textId="77777777" w:rsidR="00183D0F" w:rsidRDefault="00183D0F" w:rsidP="006E6594">
            <w:pPr>
              <w:pStyle w:val="ListParagraph"/>
              <w:ind w:left="0"/>
              <w:rPr>
                <w:lang w:val="en"/>
              </w:rPr>
            </w:pPr>
          </w:p>
          <w:p w14:paraId="4304062C" w14:textId="77777777" w:rsidR="00183D0F" w:rsidRDefault="00183D0F" w:rsidP="006E6594">
            <w:pPr>
              <w:pStyle w:val="ListParagraph"/>
              <w:ind w:left="0"/>
              <w:rPr>
                <w:lang w:val="en"/>
              </w:rPr>
            </w:pPr>
          </w:p>
          <w:p w14:paraId="0C6DB089" w14:textId="77777777" w:rsidR="00183D0F" w:rsidRDefault="00183D0F" w:rsidP="006E6594">
            <w:pPr>
              <w:pStyle w:val="ListParagraph"/>
              <w:ind w:left="0"/>
              <w:rPr>
                <w:lang w:val="en"/>
              </w:rPr>
            </w:pPr>
          </w:p>
          <w:p w14:paraId="671A367C" w14:textId="77777777" w:rsidR="00183D0F" w:rsidRDefault="00183D0F" w:rsidP="006E6594">
            <w:pPr>
              <w:pStyle w:val="ListParagraph"/>
              <w:ind w:left="0"/>
              <w:rPr>
                <w:lang w:val="en"/>
              </w:rPr>
            </w:pPr>
          </w:p>
        </w:tc>
      </w:tr>
    </w:tbl>
    <w:p w14:paraId="07970624" w14:textId="77777777" w:rsidR="0012282F" w:rsidRDefault="0012282F" w:rsidP="0012282F">
      <w:pPr>
        <w:pStyle w:val="PlainText"/>
        <w:rPr>
          <w:rFonts w:cs="Arial"/>
          <w:szCs w:val="24"/>
        </w:rPr>
      </w:pPr>
    </w:p>
    <w:p w14:paraId="531D4A52" w14:textId="77777777" w:rsidR="00183D0F" w:rsidRPr="00F144C9" w:rsidRDefault="00183D0F" w:rsidP="0012282F">
      <w:pPr>
        <w:pStyle w:val="PlainText"/>
        <w:rPr>
          <w:rFonts w:cs="Arial"/>
          <w:szCs w:val="24"/>
        </w:rPr>
      </w:pPr>
    </w:p>
    <w:p w14:paraId="47D35A43" w14:textId="77777777" w:rsidR="0012282F" w:rsidRPr="00F144C9" w:rsidRDefault="0012282F" w:rsidP="0012282F">
      <w:pPr>
        <w:pStyle w:val="PlainText"/>
        <w:numPr>
          <w:ilvl w:val="0"/>
          <w:numId w:val="20"/>
        </w:numPr>
        <w:rPr>
          <w:rFonts w:cs="Arial"/>
          <w:szCs w:val="24"/>
        </w:rPr>
      </w:pPr>
      <w:r w:rsidRPr="00F144C9">
        <w:rPr>
          <w:rFonts w:cs="Arial"/>
          <w:szCs w:val="24"/>
        </w:rPr>
        <w:t>Annex C, ‘</w:t>
      </w:r>
      <w:r w:rsidRPr="00F144C9">
        <w:rPr>
          <w:rStyle w:val="normaltextrun"/>
          <w:rFonts w:cs="Arial"/>
          <w:b/>
          <w:bCs/>
          <w:color w:val="000000" w:themeColor="text1"/>
          <w:szCs w:val="24"/>
        </w:rPr>
        <w:t>Scottish Government use of children’s right’s reports</w:t>
      </w:r>
      <w:r w:rsidRPr="00F144C9">
        <w:rPr>
          <w:rStyle w:val="normaltextrun"/>
          <w:rFonts w:cs="Arial"/>
          <w:color w:val="000000" w:themeColor="text1"/>
          <w:szCs w:val="24"/>
        </w:rPr>
        <w:t>’,</w:t>
      </w:r>
      <w:r w:rsidRPr="00F144C9">
        <w:rPr>
          <w:rStyle w:val="normaltextrun"/>
          <w:rFonts w:cs="Arial"/>
          <w:b/>
          <w:bCs/>
          <w:color w:val="000000" w:themeColor="text1"/>
          <w:szCs w:val="24"/>
        </w:rPr>
        <w:t xml:space="preserve"> </w:t>
      </w:r>
      <w:r w:rsidRPr="00F144C9">
        <w:rPr>
          <w:rFonts w:cs="Arial"/>
          <w:szCs w:val="24"/>
        </w:rPr>
        <w:t xml:space="preserve">is clear. </w:t>
      </w:r>
    </w:p>
    <w:p w14:paraId="123A8540" w14:textId="77777777" w:rsidR="0012282F" w:rsidRPr="00F144C9" w:rsidRDefault="0012282F" w:rsidP="0012282F">
      <w:pPr>
        <w:pStyle w:val="ListParagraph"/>
      </w:pPr>
    </w:p>
    <w:p w14:paraId="4A65FA55" w14:textId="77777777" w:rsidR="00183D0F" w:rsidRPr="00D23D36" w:rsidRDefault="00183D0F" w:rsidP="00183D0F">
      <w:pPr>
        <w:ind w:left="720"/>
        <w:rPr>
          <w:lang w:val="en"/>
        </w:rPr>
      </w:pPr>
      <w:sdt>
        <w:sdtPr>
          <w:rPr>
            <w:lang w:val="en"/>
          </w:rPr>
          <w:id w:val="-1093865998"/>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45417B13" w14:textId="77777777" w:rsidR="00183D0F" w:rsidRPr="00D23D36" w:rsidRDefault="00183D0F" w:rsidP="00183D0F">
      <w:pPr>
        <w:ind w:left="720"/>
        <w:rPr>
          <w:lang w:val="en"/>
        </w:rPr>
      </w:pPr>
      <w:sdt>
        <w:sdtPr>
          <w:rPr>
            <w:lang w:val="en"/>
          </w:rPr>
          <w:id w:val="-98115150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7C1B6CD4" w14:textId="77777777" w:rsidR="00183D0F" w:rsidRPr="00D23D36" w:rsidRDefault="00183D0F" w:rsidP="00183D0F">
      <w:pPr>
        <w:ind w:left="720"/>
        <w:rPr>
          <w:lang w:val="en"/>
        </w:rPr>
      </w:pPr>
      <w:sdt>
        <w:sdtPr>
          <w:rPr>
            <w:lang w:val="en"/>
          </w:rPr>
          <w:id w:val="-9301588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432AF48E" w14:textId="77777777" w:rsidR="00183D0F" w:rsidRPr="00D23D36" w:rsidRDefault="00183D0F" w:rsidP="00183D0F">
      <w:pPr>
        <w:ind w:left="720"/>
        <w:rPr>
          <w:lang w:val="en"/>
        </w:rPr>
      </w:pPr>
      <w:sdt>
        <w:sdtPr>
          <w:rPr>
            <w:lang w:val="en"/>
          </w:rPr>
          <w:id w:val="316623216"/>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61F4C905" w14:textId="77777777" w:rsidR="00183D0F" w:rsidRPr="00D23D36" w:rsidRDefault="00183D0F" w:rsidP="00183D0F">
      <w:pPr>
        <w:ind w:left="720"/>
        <w:rPr>
          <w:lang w:val="en"/>
        </w:rPr>
      </w:pPr>
      <w:sdt>
        <w:sdtPr>
          <w:rPr>
            <w:lang w:val="en"/>
          </w:rPr>
          <w:id w:val="-1406757845"/>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6FB5237B" w14:textId="77777777" w:rsidR="0012282F" w:rsidRPr="00F144C9" w:rsidRDefault="0012282F" w:rsidP="0012282F">
      <w:pPr>
        <w:rPr>
          <w:rFonts w:cs="Arial"/>
          <w:szCs w:val="24"/>
          <w:lang w:val="en"/>
        </w:rPr>
      </w:pPr>
    </w:p>
    <w:p w14:paraId="131F12DB" w14:textId="77777777" w:rsidR="0012282F" w:rsidRPr="00F144C9" w:rsidRDefault="0012282F" w:rsidP="0012282F">
      <w:pPr>
        <w:pStyle w:val="PlainText"/>
        <w:rPr>
          <w:rFonts w:cs="Arial"/>
          <w:szCs w:val="24"/>
        </w:rPr>
      </w:pPr>
    </w:p>
    <w:p w14:paraId="2A232810" w14:textId="77777777" w:rsidR="0012282F" w:rsidRPr="00F144C9" w:rsidRDefault="0012282F" w:rsidP="0012282F">
      <w:pPr>
        <w:pStyle w:val="PlainText"/>
        <w:numPr>
          <w:ilvl w:val="0"/>
          <w:numId w:val="20"/>
        </w:numPr>
        <w:rPr>
          <w:rFonts w:cs="Arial"/>
          <w:szCs w:val="24"/>
        </w:rPr>
      </w:pPr>
      <w:r w:rsidRPr="00F144C9">
        <w:rPr>
          <w:rFonts w:cs="Arial"/>
          <w:szCs w:val="24"/>
        </w:rPr>
        <w:t>The guidance is presented in an accessible manner, e.g. the style, length and content are useful in aiding implementation of duties in respect of the Act.</w:t>
      </w:r>
    </w:p>
    <w:p w14:paraId="21C4B2C0" w14:textId="77777777" w:rsidR="0012282F" w:rsidRPr="00F144C9" w:rsidRDefault="0012282F" w:rsidP="0012282F">
      <w:pPr>
        <w:pStyle w:val="PlainText"/>
        <w:ind w:left="720"/>
        <w:rPr>
          <w:rFonts w:cs="Arial"/>
          <w:szCs w:val="24"/>
        </w:rPr>
      </w:pPr>
    </w:p>
    <w:p w14:paraId="7ED0A327" w14:textId="77777777" w:rsidR="00183D0F" w:rsidRPr="00D23D36" w:rsidRDefault="00183D0F" w:rsidP="00183D0F">
      <w:pPr>
        <w:ind w:left="720"/>
        <w:rPr>
          <w:lang w:val="en"/>
        </w:rPr>
      </w:pPr>
      <w:sdt>
        <w:sdtPr>
          <w:rPr>
            <w:lang w:val="en"/>
          </w:rPr>
          <w:id w:val="228662935"/>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agree</w:t>
      </w:r>
    </w:p>
    <w:p w14:paraId="250FFB4B" w14:textId="77777777" w:rsidR="00183D0F" w:rsidRPr="00D23D36" w:rsidRDefault="00183D0F" w:rsidP="00183D0F">
      <w:pPr>
        <w:ind w:left="720"/>
        <w:rPr>
          <w:lang w:val="en"/>
        </w:rPr>
      </w:pPr>
      <w:sdt>
        <w:sdtPr>
          <w:rPr>
            <w:lang w:val="en"/>
          </w:rPr>
          <w:id w:val="-626008640"/>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Agree</w:t>
      </w:r>
    </w:p>
    <w:p w14:paraId="712823EA" w14:textId="77777777" w:rsidR="00183D0F" w:rsidRPr="00D23D36" w:rsidRDefault="00183D0F" w:rsidP="00183D0F">
      <w:pPr>
        <w:ind w:left="720"/>
        <w:rPr>
          <w:lang w:val="en"/>
        </w:rPr>
      </w:pPr>
      <w:sdt>
        <w:sdtPr>
          <w:rPr>
            <w:lang w:val="en"/>
          </w:rPr>
          <w:id w:val="-659625072"/>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Neither agree nor disagree</w:t>
      </w:r>
    </w:p>
    <w:p w14:paraId="2BF6C6A3" w14:textId="77777777" w:rsidR="00183D0F" w:rsidRPr="00D23D36" w:rsidRDefault="00183D0F" w:rsidP="00183D0F">
      <w:pPr>
        <w:ind w:left="720"/>
        <w:rPr>
          <w:lang w:val="en"/>
        </w:rPr>
      </w:pPr>
      <w:sdt>
        <w:sdtPr>
          <w:rPr>
            <w:lang w:val="en"/>
          </w:rPr>
          <w:id w:val="1651719564"/>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Disagree</w:t>
      </w:r>
    </w:p>
    <w:p w14:paraId="352F3428" w14:textId="77777777" w:rsidR="00183D0F" w:rsidRPr="00D23D36" w:rsidRDefault="00183D0F" w:rsidP="00183D0F">
      <w:pPr>
        <w:ind w:left="720"/>
        <w:rPr>
          <w:lang w:val="en"/>
        </w:rPr>
      </w:pPr>
      <w:sdt>
        <w:sdtPr>
          <w:rPr>
            <w:lang w:val="en"/>
          </w:rPr>
          <w:id w:val="1981724317"/>
          <w14:checkbox>
            <w14:checked w14:val="0"/>
            <w14:checkedState w14:val="2612" w14:font="MS Gothic"/>
            <w14:uncheckedState w14:val="2610" w14:font="MS Gothic"/>
          </w14:checkbox>
        </w:sdtPr>
        <w:sdtContent>
          <w:r>
            <w:rPr>
              <w:rFonts w:ascii="MS Gothic" w:eastAsia="MS Gothic" w:hAnsi="MS Gothic" w:hint="eastAsia"/>
              <w:lang w:val="en"/>
            </w:rPr>
            <w:t>☐</w:t>
          </w:r>
        </w:sdtContent>
      </w:sdt>
      <w:r w:rsidRPr="00D23D36">
        <w:rPr>
          <w:lang w:val="en"/>
        </w:rPr>
        <w:t>Strongly disagree</w:t>
      </w:r>
    </w:p>
    <w:p w14:paraId="0467CC77" w14:textId="77777777" w:rsidR="0012282F" w:rsidRPr="00F144C9" w:rsidRDefault="0012282F" w:rsidP="0012282F">
      <w:pPr>
        <w:pStyle w:val="PlainText"/>
        <w:rPr>
          <w:rFonts w:cs="Arial"/>
          <w:szCs w:val="24"/>
        </w:rPr>
      </w:pPr>
    </w:p>
    <w:p w14:paraId="1D1BA190" w14:textId="77777777" w:rsidR="0012282F" w:rsidRPr="00F144C9" w:rsidRDefault="0012282F" w:rsidP="0012282F">
      <w:pPr>
        <w:pStyle w:val="ListParagraph"/>
        <w:rPr>
          <w:lang w:val="en"/>
        </w:rPr>
      </w:pPr>
    </w:p>
    <w:p w14:paraId="4811CADB" w14:textId="77777777" w:rsidR="0012282F" w:rsidRPr="00F144C9" w:rsidRDefault="0012282F" w:rsidP="0012282F">
      <w:pPr>
        <w:pStyle w:val="PlainText"/>
        <w:numPr>
          <w:ilvl w:val="0"/>
          <w:numId w:val="20"/>
        </w:numPr>
        <w:rPr>
          <w:rFonts w:cs="Arial"/>
          <w:szCs w:val="24"/>
        </w:rPr>
      </w:pPr>
      <w:r w:rsidRPr="00F144C9">
        <w:rPr>
          <w:rFonts w:cs="Arial"/>
          <w:szCs w:val="24"/>
        </w:rPr>
        <w:t>Are there any areas where you think the Part 3 guidance could be improved? Please cite specific parts of the guidance if relevant.</w:t>
      </w:r>
    </w:p>
    <w:p w14:paraId="6DA02094" w14:textId="77777777" w:rsidR="0012282F" w:rsidRPr="00F144C9" w:rsidRDefault="0012282F" w:rsidP="0012282F">
      <w:pPr>
        <w:pStyle w:val="ListParagraph"/>
        <w:rPr>
          <w:lang w:val="en"/>
        </w:rPr>
      </w:pPr>
    </w:p>
    <w:p w14:paraId="2DC9315C" w14:textId="7185035E" w:rsidR="00183D0F" w:rsidRPr="00F144C9" w:rsidRDefault="00183D0F" w:rsidP="00183D0F">
      <w:pPr>
        <w:rPr>
          <w:rFonts w:cs="Arial"/>
          <w:szCs w:val="24"/>
          <w:lang w:val="en"/>
        </w:rPr>
      </w:pPr>
      <w:r>
        <w:rPr>
          <w:rFonts w:cs="Arial"/>
          <w:szCs w:val="24"/>
          <w:lang w:val="en"/>
        </w:rPr>
        <w:tab/>
      </w:r>
      <w:r w:rsidRPr="00D23D36">
        <w:rPr>
          <w:rFonts w:cs="Arial"/>
          <w:szCs w:val="24"/>
          <w:lang w:val="en"/>
        </w:rPr>
        <w:t>Please give us your views</w:t>
      </w:r>
      <w:r>
        <w:rPr>
          <w:rFonts w:cs="Arial"/>
          <w:szCs w:val="24"/>
          <w:lang w:val="en"/>
        </w:rPr>
        <w:t>:</w:t>
      </w:r>
    </w:p>
    <w:tbl>
      <w:tblPr>
        <w:tblStyle w:val="TableGrid"/>
        <w:tblW w:w="0" w:type="auto"/>
        <w:tblInd w:w="1080" w:type="dxa"/>
        <w:tblLook w:val="04A0" w:firstRow="1" w:lastRow="0" w:firstColumn="1" w:lastColumn="0" w:noHBand="0" w:noVBand="1"/>
      </w:tblPr>
      <w:tblGrid>
        <w:gridCol w:w="7936"/>
      </w:tblGrid>
      <w:tr w:rsidR="00183D0F" w14:paraId="28FF9F0A" w14:textId="77777777" w:rsidTr="006E6594">
        <w:tc>
          <w:tcPr>
            <w:tcW w:w="9016" w:type="dxa"/>
          </w:tcPr>
          <w:p w14:paraId="1A775357" w14:textId="77777777" w:rsidR="00183D0F" w:rsidRDefault="00183D0F" w:rsidP="006E6594">
            <w:pPr>
              <w:pStyle w:val="ListParagraph"/>
              <w:ind w:left="0"/>
              <w:rPr>
                <w:lang w:val="en"/>
              </w:rPr>
            </w:pPr>
          </w:p>
          <w:p w14:paraId="6EC4FDEE" w14:textId="77777777" w:rsidR="00183D0F" w:rsidRDefault="00183D0F" w:rsidP="006E6594">
            <w:pPr>
              <w:pStyle w:val="ListParagraph"/>
              <w:ind w:left="0"/>
              <w:rPr>
                <w:lang w:val="en"/>
              </w:rPr>
            </w:pPr>
          </w:p>
          <w:p w14:paraId="164E7EB0" w14:textId="77777777" w:rsidR="00183D0F" w:rsidRDefault="00183D0F" w:rsidP="006E6594">
            <w:pPr>
              <w:pStyle w:val="ListParagraph"/>
              <w:ind w:left="0"/>
              <w:rPr>
                <w:lang w:val="en"/>
              </w:rPr>
            </w:pPr>
          </w:p>
          <w:p w14:paraId="5C5ED6B7" w14:textId="77777777" w:rsidR="00183D0F" w:rsidRDefault="00183D0F" w:rsidP="006E6594">
            <w:pPr>
              <w:pStyle w:val="ListParagraph"/>
              <w:ind w:left="0"/>
              <w:rPr>
                <w:lang w:val="en"/>
              </w:rPr>
            </w:pPr>
          </w:p>
          <w:p w14:paraId="3D600DD6" w14:textId="77777777" w:rsidR="00183D0F" w:rsidRDefault="00183D0F" w:rsidP="006E6594">
            <w:pPr>
              <w:pStyle w:val="ListParagraph"/>
              <w:ind w:left="0"/>
              <w:rPr>
                <w:lang w:val="en"/>
              </w:rPr>
            </w:pPr>
          </w:p>
        </w:tc>
      </w:tr>
    </w:tbl>
    <w:p w14:paraId="55E7441E" w14:textId="77777777" w:rsidR="0012282F" w:rsidRPr="00F144C9" w:rsidRDefault="0012282F" w:rsidP="0012282F">
      <w:pPr>
        <w:pStyle w:val="ListParagraph"/>
        <w:rPr>
          <w:lang w:val="en"/>
        </w:rPr>
      </w:pPr>
    </w:p>
    <w:p w14:paraId="242D223E" w14:textId="77777777" w:rsidR="0012282F" w:rsidRPr="00F144C9" w:rsidRDefault="0012282F" w:rsidP="0012282F">
      <w:pPr>
        <w:pStyle w:val="PlainText"/>
        <w:ind w:left="360"/>
        <w:rPr>
          <w:rFonts w:cs="Arial"/>
          <w:szCs w:val="24"/>
        </w:rPr>
      </w:pPr>
    </w:p>
    <w:p w14:paraId="72877B36" w14:textId="77777777" w:rsidR="0012282F" w:rsidRPr="00F144C9" w:rsidRDefault="0012282F" w:rsidP="0012282F">
      <w:pPr>
        <w:pStyle w:val="ListParagraph"/>
        <w:ind w:left="0"/>
      </w:pPr>
    </w:p>
    <w:p w14:paraId="528ECCE3" w14:textId="77777777" w:rsidR="0012282F" w:rsidRPr="00F144C9" w:rsidRDefault="0012282F" w:rsidP="0012282F">
      <w:pPr>
        <w:tabs>
          <w:tab w:val="clear" w:pos="720"/>
          <w:tab w:val="clear" w:pos="1440"/>
          <w:tab w:val="clear" w:pos="2160"/>
          <w:tab w:val="clear" w:pos="2880"/>
          <w:tab w:val="clear" w:pos="4680"/>
          <w:tab w:val="clear" w:pos="5400"/>
          <w:tab w:val="clear" w:pos="9000"/>
        </w:tabs>
        <w:spacing w:line="240" w:lineRule="auto"/>
        <w:jc w:val="left"/>
        <w:rPr>
          <w:rFonts w:cs="Arial"/>
          <w:b/>
          <w:color w:val="535353"/>
          <w:szCs w:val="24"/>
        </w:rPr>
      </w:pPr>
    </w:p>
    <w:p w14:paraId="753B47A1" w14:textId="77777777" w:rsidR="00CC061A" w:rsidRDefault="00CC061A" w:rsidP="0012282F">
      <w:pPr>
        <w:pStyle w:val="PlainText"/>
        <w:jc w:val="both"/>
      </w:pPr>
    </w:p>
    <w:p w14:paraId="7ADEC514" w14:textId="77777777" w:rsidR="00602B78" w:rsidRDefault="00602B78" w:rsidP="0012282F">
      <w:pPr>
        <w:pStyle w:val="PlainText"/>
        <w:jc w:val="both"/>
      </w:pPr>
    </w:p>
    <w:p w14:paraId="398CCFA7" w14:textId="77777777" w:rsidR="00602B78" w:rsidRDefault="00602B78" w:rsidP="0012282F">
      <w:pPr>
        <w:pStyle w:val="PlainText"/>
        <w:jc w:val="both"/>
      </w:pPr>
    </w:p>
    <w:p w14:paraId="29A17523" w14:textId="77777777" w:rsidR="00602B78" w:rsidRDefault="00602B78" w:rsidP="0012282F">
      <w:pPr>
        <w:pStyle w:val="PlainText"/>
        <w:jc w:val="both"/>
      </w:pPr>
    </w:p>
    <w:p w14:paraId="4C17A907" w14:textId="77777777" w:rsidR="00602B78" w:rsidRDefault="00602B78" w:rsidP="0012282F">
      <w:pPr>
        <w:pStyle w:val="PlainText"/>
        <w:jc w:val="both"/>
      </w:pPr>
    </w:p>
    <w:p w14:paraId="4DEF5167" w14:textId="77777777" w:rsidR="00602B78" w:rsidRDefault="00602B78" w:rsidP="0012282F">
      <w:pPr>
        <w:pStyle w:val="PlainText"/>
        <w:jc w:val="both"/>
      </w:pPr>
    </w:p>
    <w:p w14:paraId="73CD4BD4" w14:textId="77777777" w:rsidR="00602B78" w:rsidRDefault="00602B78" w:rsidP="0012282F">
      <w:pPr>
        <w:pStyle w:val="PlainText"/>
        <w:jc w:val="both"/>
      </w:pPr>
    </w:p>
    <w:p w14:paraId="1198A4EC" w14:textId="77777777" w:rsidR="00602B78" w:rsidRDefault="00602B78" w:rsidP="0012282F">
      <w:pPr>
        <w:pStyle w:val="PlainText"/>
        <w:jc w:val="both"/>
      </w:pPr>
    </w:p>
    <w:p w14:paraId="7B4302B1" w14:textId="77777777" w:rsidR="00602B78" w:rsidRDefault="00602B78" w:rsidP="0012282F">
      <w:pPr>
        <w:pStyle w:val="PlainText"/>
        <w:jc w:val="both"/>
      </w:pPr>
    </w:p>
    <w:p w14:paraId="144B487A" w14:textId="77777777" w:rsidR="00602B78" w:rsidRDefault="00602B78" w:rsidP="0012282F">
      <w:pPr>
        <w:pStyle w:val="PlainText"/>
        <w:jc w:val="both"/>
      </w:pPr>
    </w:p>
    <w:p w14:paraId="4D649314" w14:textId="77777777" w:rsidR="00602B78" w:rsidRDefault="00602B78" w:rsidP="0012282F">
      <w:pPr>
        <w:pStyle w:val="PlainText"/>
        <w:jc w:val="both"/>
      </w:pPr>
    </w:p>
    <w:p w14:paraId="7B957CD5" w14:textId="77777777" w:rsidR="00602B78" w:rsidRDefault="00602B78" w:rsidP="0012282F">
      <w:pPr>
        <w:pStyle w:val="PlainText"/>
        <w:jc w:val="both"/>
      </w:pPr>
    </w:p>
    <w:p w14:paraId="0B19254B" w14:textId="77777777" w:rsidR="00602B78" w:rsidRDefault="00602B78" w:rsidP="0012282F">
      <w:pPr>
        <w:pStyle w:val="PlainText"/>
        <w:jc w:val="both"/>
      </w:pPr>
    </w:p>
    <w:p w14:paraId="65A04450" w14:textId="77777777" w:rsidR="00602B78" w:rsidRDefault="00602B78" w:rsidP="0012282F">
      <w:pPr>
        <w:pStyle w:val="PlainText"/>
        <w:jc w:val="both"/>
      </w:pPr>
    </w:p>
    <w:p w14:paraId="7E94D3F8" w14:textId="77777777" w:rsidR="00602B78" w:rsidRDefault="00602B78" w:rsidP="0012282F">
      <w:pPr>
        <w:pStyle w:val="PlainText"/>
        <w:jc w:val="both"/>
      </w:pPr>
    </w:p>
    <w:p w14:paraId="206A28B3" w14:textId="77777777" w:rsidR="00602B78" w:rsidRDefault="00602B78" w:rsidP="0012282F">
      <w:pPr>
        <w:pStyle w:val="PlainText"/>
        <w:jc w:val="both"/>
      </w:pPr>
    </w:p>
    <w:p w14:paraId="011BDE38" w14:textId="77777777" w:rsidR="00602B78" w:rsidRDefault="00602B78" w:rsidP="0012282F">
      <w:pPr>
        <w:pStyle w:val="PlainText"/>
        <w:jc w:val="both"/>
      </w:pPr>
    </w:p>
    <w:p w14:paraId="293D397D" w14:textId="77777777" w:rsidR="00602B78" w:rsidRDefault="00602B78" w:rsidP="0012282F">
      <w:pPr>
        <w:pStyle w:val="PlainText"/>
        <w:jc w:val="both"/>
      </w:pPr>
    </w:p>
    <w:p w14:paraId="3BCDF4CC" w14:textId="77777777" w:rsidR="00602B78" w:rsidRDefault="00602B78" w:rsidP="0012282F">
      <w:pPr>
        <w:pStyle w:val="PlainText"/>
        <w:jc w:val="both"/>
      </w:pPr>
    </w:p>
    <w:p w14:paraId="77297C12" w14:textId="77777777" w:rsidR="00602B78" w:rsidRDefault="00602B78" w:rsidP="0012282F">
      <w:pPr>
        <w:pStyle w:val="PlainText"/>
        <w:jc w:val="both"/>
      </w:pPr>
    </w:p>
    <w:p w14:paraId="791988C0" w14:textId="77777777" w:rsidR="00602B78" w:rsidRDefault="00602B78" w:rsidP="0012282F">
      <w:pPr>
        <w:pStyle w:val="PlainText"/>
        <w:jc w:val="both"/>
      </w:pPr>
    </w:p>
    <w:p w14:paraId="103E3BC7" w14:textId="77777777" w:rsidR="00602B78" w:rsidRDefault="00602B78" w:rsidP="0012282F">
      <w:pPr>
        <w:pStyle w:val="PlainText"/>
        <w:jc w:val="both"/>
      </w:pPr>
    </w:p>
    <w:p w14:paraId="007E1E7A" w14:textId="77777777" w:rsidR="00602B78" w:rsidRDefault="00602B78" w:rsidP="0012282F">
      <w:pPr>
        <w:pStyle w:val="PlainText"/>
        <w:jc w:val="both"/>
      </w:pPr>
    </w:p>
    <w:p w14:paraId="6DFA1661" w14:textId="77777777" w:rsidR="00602B78" w:rsidRDefault="00602B78" w:rsidP="0012282F">
      <w:pPr>
        <w:pStyle w:val="PlainText"/>
        <w:jc w:val="both"/>
      </w:pPr>
    </w:p>
    <w:p w14:paraId="6B9CD7FA" w14:textId="77777777" w:rsidR="00602B78" w:rsidRDefault="00602B78" w:rsidP="0012282F">
      <w:pPr>
        <w:pStyle w:val="PlainText"/>
        <w:jc w:val="both"/>
      </w:pPr>
    </w:p>
    <w:p w14:paraId="2BD2E32B" w14:textId="77777777" w:rsidR="00602B78" w:rsidRDefault="00602B78" w:rsidP="0012282F">
      <w:pPr>
        <w:pStyle w:val="PlainText"/>
        <w:jc w:val="both"/>
      </w:pPr>
    </w:p>
    <w:p w14:paraId="4185A78B" w14:textId="77777777" w:rsidR="00602B78" w:rsidRDefault="00602B78" w:rsidP="0012282F">
      <w:pPr>
        <w:pStyle w:val="PlainText"/>
        <w:jc w:val="both"/>
      </w:pPr>
    </w:p>
    <w:p w14:paraId="2F873158" w14:textId="77777777" w:rsidR="00602B78" w:rsidRDefault="00602B78" w:rsidP="0012282F">
      <w:pPr>
        <w:pStyle w:val="PlainText"/>
        <w:jc w:val="both"/>
      </w:pPr>
    </w:p>
    <w:p w14:paraId="7DDCB0CD" w14:textId="77777777" w:rsidR="00602B78" w:rsidRDefault="00602B78" w:rsidP="0012282F">
      <w:pPr>
        <w:pStyle w:val="PlainText"/>
        <w:jc w:val="both"/>
      </w:pPr>
    </w:p>
    <w:p w14:paraId="08AE39AA" w14:textId="77777777" w:rsidR="00602B78" w:rsidRDefault="00602B78" w:rsidP="0012282F">
      <w:pPr>
        <w:pStyle w:val="PlainText"/>
        <w:jc w:val="both"/>
      </w:pPr>
    </w:p>
    <w:p w14:paraId="1CF76D26" w14:textId="77777777" w:rsidR="00602B78" w:rsidRDefault="00602B78" w:rsidP="0012282F">
      <w:pPr>
        <w:pStyle w:val="PlainText"/>
        <w:jc w:val="both"/>
      </w:pPr>
    </w:p>
    <w:p w14:paraId="0986DF30" w14:textId="77777777" w:rsidR="00602B78" w:rsidRPr="00C67D9D" w:rsidRDefault="00602B78" w:rsidP="0012282F">
      <w:pPr>
        <w:pStyle w:val="PlainText"/>
        <w:jc w:val="both"/>
      </w:pPr>
    </w:p>
    <w:sectPr w:rsidR="00602B78" w:rsidRPr="00C67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434ACEE"/>
    <w:lvl w:ilvl="0">
      <w:start w:val="1"/>
      <w:numFmt w:val="decimal"/>
      <w:pStyle w:val="Heading1"/>
      <w:lvlText w:val="%1."/>
      <w:legacy w:legacy="1" w:legacySpace="288" w:legacyIndent="720"/>
      <w:lvlJc w:val="left"/>
      <w:rPr>
        <w:b w:val="0"/>
      </w:rPr>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803414"/>
    <w:multiLevelType w:val="multilevel"/>
    <w:tmpl w:val="3D60E9D2"/>
    <w:lvl w:ilvl="0">
      <w:start w:val="1"/>
      <w:numFmt w:val="bullet"/>
      <w:lvlText w:val=""/>
      <w:lvlJc w:val="left"/>
      <w:rPr>
        <w:rFonts w:ascii="Symbol" w:hAnsi="Symbol" w:hint="default"/>
        <w:b w:val="0"/>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126605B0"/>
    <w:multiLevelType w:val="hybridMultilevel"/>
    <w:tmpl w:val="C5F83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FA4B44"/>
    <w:multiLevelType w:val="hybridMultilevel"/>
    <w:tmpl w:val="678CE3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64F31"/>
    <w:multiLevelType w:val="hybridMultilevel"/>
    <w:tmpl w:val="A9F23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71BCD"/>
    <w:multiLevelType w:val="hybridMultilevel"/>
    <w:tmpl w:val="E6F84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3153B2"/>
    <w:multiLevelType w:val="hybridMultilevel"/>
    <w:tmpl w:val="2356F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BC7AED"/>
    <w:multiLevelType w:val="hybridMultilevel"/>
    <w:tmpl w:val="689C7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5E3CA8"/>
    <w:multiLevelType w:val="hybridMultilevel"/>
    <w:tmpl w:val="8EA60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274E2"/>
    <w:multiLevelType w:val="hybridMultilevel"/>
    <w:tmpl w:val="35A20356"/>
    <w:lvl w:ilvl="0" w:tplc="0674CF98">
      <w:start w:val="1"/>
      <w:numFmt w:val="bullet"/>
      <w:lvlText w:val=""/>
      <w:lvlJc w:val="left"/>
      <w:pPr>
        <w:ind w:left="1080" w:hanging="360"/>
      </w:pPr>
      <w:rPr>
        <w:rFonts w:ascii="Wingdings" w:eastAsia="Wingdings" w:hAnsi="Wingdings" w:cs="Wingdings" w:hint="default"/>
        <w:w w:val="99"/>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226452"/>
    <w:multiLevelType w:val="hybridMultilevel"/>
    <w:tmpl w:val="BD6A0000"/>
    <w:lvl w:ilvl="0" w:tplc="631A766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67D6A"/>
    <w:multiLevelType w:val="hybridMultilevel"/>
    <w:tmpl w:val="228A6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825D50"/>
    <w:multiLevelType w:val="hybridMultilevel"/>
    <w:tmpl w:val="0720D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DA9002E"/>
    <w:multiLevelType w:val="hybridMultilevel"/>
    <w:tmpl w:val="0F385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E11067"/>
    <w:multiLevelType w:val="hybridMultilevel"/>
    <w:tmpl w:val="50205A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84639AA"/>
    <w:multiLevelType w:val="hybridMultilevel"/>
    <w:tmpl w:val="DAC2C4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35B66CA"/>
    <w:multiLevelType w:val="hybridMultilevel"/>
    <w:tmpl w:val="5052E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88334D"/>
    <w:multiLevelType w:val="hybridMultilevel"/>
    <w:tmpl w:val="52DE6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B158B"/>
    <w:multiLevelType w:val="hybridMultilevel"/>
    <w:tmpl w:val="754A15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184BB0"/>
    <w:multiLevelType w:val="hybridMultilevel"/>
    <w:tmpl w:val="BE925716"/>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1747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005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5643629">
    <w:abstractNumId w:val="4"/>
  </w:num>
  <w:num w:numId="4" w16cid:durableId="1897274379">
    <w:abstractNumId w:val="6"/>
  </w:num>
  <w:num w:numId="5" w16cid:durableId="2094622570">
    <w:abstractNumId w:val="9"/>
  </w:num>
  <w:num w:numId="6" w16cid:durableId="487288312">
    <w:abstractNumId w:val="18"/>
  </w:num>
  <w:num w:numId="7" w16cid:durableId="716702988">
    <w:abstractNumId w:val="17"/>
  </w:num>
  <w:num w:numId="8" w16cid:durableId="1104617653">
    <w:abstractNumId w:val="8"/>
  </w:num>
  <w:num w:numId="9" w16cid:durableId="1434472972">
    <w:abstractNumId w:val="16"/>
  </w:num>
  <w:num w:numId="10" w16cid:durableId="136922925">
    <w:abstractNumId w:val="19"/>
  </w:num>
  <w:num w:numId="11" w16cid:durableId="134377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4955">
    <w:abstractNumId w:val="3"/>
  </w:num>
  <w:num w:numId="13" w16cid:durableId="1159886732">
    <w:abstractNumId w:val="0"/>
  </w:num>
  <w:num w:numId="14" w16cid:durableId="607926208">
    <w:abstractNumId w:val="1"/>
  </w:num>
  <w:num w:numId="15" w16cid:durableId="936519143">
    <w:abstractNumId w:val="13"/>
  </w:num>
  <w:num w:numId="16" w16cid:durableId="1631936760">
    <w:abstractNumId w:val="15"/>
  </w:num>
  <w:num w:numId="17" w16cid:durableId="2114594267">
    <w:abstractNumId w:val="5"/>
  </w:num>
  <w:num w:numId="18" w16cid:durableId="1577205739">
    <w:abstractNumId w:val="7"/>
  </w:num>
  <w:num w:numId="19" w16cid:durableId="777988470">
    <w:abstractNumId w:val="14"/>
  </w:num>
  <w:num w:numId="20" w16cid:durableId="498157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2E"/>
    <w:rsid w:val="000021E6"/>
    <w:rsid w:val="000257AE"/>
    <w:rsid w:val="0003712D"/>
    <w:rsid w:val="00054C9F"/>
    <w:rsid w:val="0006160C"/>
    <w:rsid w:val="0007676B"/>
    <w:rsid w:val="000863B8"/>
    <w:rsid w:val="000E6FAF"/>
    <w:rsid w:val="00107769"/>
    <w:rsid w:val="0011661B"/>
    <w:rsid w:val="0012282F"/>
    <w:rsid w:val="00133ACF"/>
    <w:rsid w:val="00166F63"/>
    <w:rsid w:val="001708F1"/>
    <w:rsid w:val="00183D0F"/>
    <w:rsid w:val="00226F25"/>
    <w:rsid w:val="0023700A"/>
    <w:rsid w:val="00250839"/>
    <w:rsid w:val="00280184"/>
    <w:rsid w:val="002A038A"/>
    <w:rsid w:val="002D04D3"/>
    <w:rsid w:val="002D32B6"/>
    <w:rsid w:val="002E2669"/>
    <w:rsid w:val="003163ED"/>
    <w:rsid w:val="00341EEC"/>
    <w:rsid w:val="003502AA"/>
    <w:rsid w:val="00363F63"/>
    <w:rsid w:val="003D1D21"/>
    <w:rsid w:val="0043022E"/>
    <w:rsid w:val="00431BB2"/>
    <w:rsid w:val="00447AC1"/>
    <w:rsid w:val="00463CA3"/>
    <w:rsid w:val="00470D09"/>
    <w:rsid w:val="00473174"/>
    <w:rsid w:val="004C4F79"/>
    <w:rsid w:val="004F3DFC"/>
    <w:rsid w:val="00514445"/>
    <w:rsid w:val="005253E6"/>
    <w:rsid w:val="00563D4B"/>
    <w:rsid w:val="005643E5"/>
    <w:rsid w:val="005806BB"/>
    <w:rsid w:val="005B01DB"/>
    <w:rsid w:val="005B59D0"/>
    <w:rsid w:val="005D5E1B"/>
    <w:rsid w:val="00602B78"/>
    <w:rsid w:val="00615CE6"/>
    <w:rsid w:val="00690FCF"/>
    <w:rsid w:val="006A6650"/>
    <w:rsid w:val="006B1C57"/>
    <w:rsid w:val="006B7F6E"/>
    <w:rsid w:val="006F221E"/>
    <w:rsid w:val="007525D6"/>
    <w:rsid w:val="00771469"/>
    <w:rsid w:val="0077475C"/>
    <w:rsid w:val="007B0477"/>
    <w:rsid w:val="007B7699"/>
    <w:rsid w:val="008529E1"/>
    <w:rsid w:val="008C18AD"/>
    <w:rsid w:val="008D34CF"/>
    <w:rsid w:val="00903D86"/>
    <w:rsid w:val="009D1227"/>
    <w:rsid w:val="00A03993"/>
    <w:rsid w:val="00A20713"/>
    <w:rsid w:val="00A34075"/>
    <w:rsid w:val="00A85EB8"/>
    <w:rsid w:val="00AB3D3F"/>
    <w:rsid w:val="00AC6D6F"/>
    <w:rsid w:val="00AF54FD"/>
    <w:rsid w:val="00AF6870"/>
    <w:rsid w:val="00B55B4C"/>
    <w:rsid w:val="00B56C2E"/>
    <w:rsid w:val="00B63905"/>
    <w:rsid w:val="00BD78D2"/>
    <w:rsid w:val="00BE1966"/>
    <w:rsid w:val="00BE6335"/>
    <w:rsid w:val="00C40209"/>
    <w:rsid w:val="00C64C53"/>
    <w:rsid w:val="00C67D9D"/>
    <w:rsid w:val="00CC061A"/>
    <w:rsid w:val="00CC4CD0"/>
    <w:rsid w:val="00CD7ED8"/>
    <w:rsid w:val="00D23D36"/>
    <w:rsid w:val="00D251FF"/>
    <w:rsid w:val="00D30F31"/>
    <w:rsid w:val="00D60D86"/>
    <w:rsid w:val="00D73FAC"/>
    <w:rsid w:val="00D86890"/>
    <w:rsid w:val="00E14B0A"/>
    <w:rsid w:val="00E45F86"/>
    <w:rsid w:val="00E65EC1"/>
    <w:rsid w:val="00E9080E"/>
    <w:rsid w:val="00EF37B3"/>
    <w:rsid w:val="00F15B5E"/>
    <w:rsid w:val="00F75C66"/>
    <w:rsid w:val="00FB7350"/>
    <w:rsid w:val="00FC4308"/>
    <w:rsid w:val="00FF2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C358"/>
  <w15:docId w15:val="{7E42207E-EA18-4268-B253-B4E25D77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2E"/>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paragraph" w:styleId="Heading1">
    <w:name w:val="heading 1"/>
    <w:aliases w:val="TEMPLATE Level 1"/>
    <w:basedOn w:val="Normal"/>
    <w:next w:val="Normal"/>
    <w:link w:val="Heading1Char"/>
    <w:qFormat/>
    <w:rsid w:val="005806BB"/>
    <w:pPr>
      <w:numPr>
        <w:numId w:val="13"/>
      </w:numPr>
      <w:tabs>
        <w:tab w:val="clear" w:pos="720"/>
        <w:tab w:val="clear" w:pos="1440"/>
        <w:tab w:val="clear" w:pos="2160"/>
        <w:tab w:val="clear" w:pos="2880"/>
        <w:tab w:val="clear" w:pos="4680"/>
        <w:tab w:val="clear" w:pos="5400"/>
        <w:tab w:val="clear" w:pos="9000"/>
      </w:tabs>
      <w:spacing w:line="240" w:lineRule="auto"/>
      <w:jc w:val="left"/>
      <w:outlineLvl w:val="0"/>
    </w:pPr>
    <w:rPr>
      <w:kern w:val="24"/>
    </w:rPr>
  </w:style>
  <w:style w:type="paragraph" w:styleId="Heading2">
    <w:name w:val="heading 2"/>
    <w:aliases w:val="TEMPLATE Level 2"/>
    <w:basedOn w:val="Normal"/>
    <w:next w:val="Normal"/>
    <w:link w:val="Heading2Char"/>
    <w:qFormat/>
    <w:rsid w:val="005806BB"/>
    <w:pPr>
      <w:numPr>
        <w:ilvl w:val="1"/>
        <w:numId w:val="13"/>
      </w:numPr>
      <w:tabs>
        <w:tab w:val="clear" w:pos="720"/>
        <w:tab w:val="clear" w:pos="1440"/>
        <w:tab w:val="clear" w:pos="2160"/>
        <w:tab w:val="clear" w:pos="2880"/>
        <w:tab w:val="clear" w:pos="4680"/>
        <w:tab w:val="clear" w:pos="5400"/>
        <w:tab w:val="clear" w:pos="9000"/>
      </w:tabs>
      <w:spacing w:line="240" w:lineRule="auto"/>
      <w:ind w:left="720"/>
      <w:jc w:val="left"/>
      <w:outlineLvl w:val="1"/>
    </w:pPr>
    <w:rPr>
      <w:kern w:val="24"/>
    </w:rPr>
  </w:style>
  <w:style w:type="paragraph" w:styleId="Heading3">
    <w:name w:val="heading 3"/>
    <w:aliases w:val="TEMPLATE Level 3"/>
    <w:basedOn w:val="Normal"/>
    <w:next w:val="Normal"/>
    <w:link w:val="Heading3Char"/>
    <w:qFormat/>
    <w:rsid w:val="005806BB"/>
    <w:pPr>
      <w:numPr>
        <w:ilvl w:val="2"/>
        <w:numId w:val="13"/>
      </w:numPr>
      <w:tabs>
        <w:tab w:val="clear" w:pos="720"/>
        <w:tab w:val="clear" w:pos="1440"/>
        <w:tab w:val="clear" w:pos="2160"/>
        <w:tab w:val="clear" w:pos="2880"/>
        <w:tab w:val="clear" w:pos="4680"/>
        <w:tab w:val="clear" w:pos="5400"/>
        <w:tab w:val="clear" w:pos="9000"/>
      </w:tabs>
      <w:spacing w:line="240" w:lineRule="auto"/>
      <w:ind w:left="1440"/>
      <w:jc w:val="left"/>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22E"/>
    <w:rPr>
      <w:color w:val="0000FF" w:themeColor="hyperlink"/>
      <w:u w:val="single"/>
    </w:rPr>
  </w:style>
  <w:style w:type="paragraph" w:styleId="PlainText">
    <w:name w:val="Plain Text"/>
    <w:basedOn w:val="Normal"/>
    <w:link w:val="PlainTextChar"/>
    <w:uiPriority w:val="99"/>
    <w:unhideWhenUsed/>
    <w:rsid w:val="0043022E"/>
    <w:pPr>
      <w:tabs>
        <w:tab w:val="clear" w:pos="720"/>
        <w:tab w:val="clear" w:pos="1440"/>
        <w:tab w:val="clear" w:pos="2160"/>
        <w:tab w:val="clear" w:pos="2880"/>
        <w:tab w:val="clear" w:pos="4680"/>
        <w:tab w:val="clear" w:pos="5400"/>
        <w:tab w:val="clear" w:pos="9000"/>
      </w:tabs>
      <w:spacing w:line="240" w:lineRule="auto"/>
      <w:jc w:val="left"/>
    </w:pPr>
    <w:rPr>
      <w:rFonts w:eastAsiaTheme="minorHAnsi" w:cstheme="minorBidi"/>
      <w:szCs w:val="21"/>
    </w:rPr>
  </w:style>
  <w:style w:type="character" w:customStyle="1" w:styleId="PlainTextChar">
    <w:name w:val="Plain Text Char"/>
    <w:basedOn w:val="DefaultParagraphFont"/>
    <w:link w:val="PlainText"/>
    <w:uiPriority w:val="99"/>
    <w:rsid w:val="0043022E"/>
    <w:rPr>
      <w:rFonts w:ascii="Arial" w:hAnsi="Arial"/>
      <w:sz w:val="24"/>
      <w:szCs w:val="21"/>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77475C"/>
    <w:pPr>
      <w:tabs>
        <w:tab w:val="clear" w:pos="720"/>
        <w:tab w:val="clear" w:pos="1440"/>
        <w:tab w:val="clear" w:pos="2160"/>
        <w:tab w:val="clear" w:pos="2880"/>
        <w:tab w:val="clear" w:pos="4680"/>
        <w:tab w:val="clear" w:pos="5400"/>
        <w:tab w:val="clear" w:pos="9000"/>
      </w:tabs>
      <w:spacing w:line="240" w:lineRule="auto"/>
      <w:ind w:left="720"/>
      <w:contextualSpacing/>
      <w:jc w:val="left"/>
    </w:pPr>
    <w:rPr>
      <w:rFonts w:eastAsiaTheme="minorHAnsi" w:cs="Arial"/>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77475C"/>
    <w:rPr>
      <w:rFonts w:ascii="Arial" w:hAnsi="Arial" w:cs="Arial"/>
      <w:sz w:val="24"/>
      <w:szCs w:val="24"/>
    </w:rPr>
  </w:style>
  <w:style w:type="paragraph" w:styleId="BalloonText">
    <w:name w:val="Balloon Text"/>
    <w:basedOn w:val="Normal"/>
    <w:link w:val="BalloonTextChar"/>
    <w:uiPriority w:val="99"/>
    <w:semiHidden/>
    <w:unhideWhenUsed/>
    <w:rsid w:val="007747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7475C"/>
    <w:rPr>
      <w:sz w:val="16"/>
      <w:szCs w:val="16"/>
    </w:rPr>
  </w:style>
  <w:style w:type="paragraph" w:styleId="CommentText">
    <w:name w:val="annotation text"/>
    <w:basedOn w:val="Normal"/>
    <w:link w:val="CommentTextChar"/>
    <w:uiPriority w:val="99"/>
    <w:unhideWhenUsed/>
    <w:rsid w:val="0077475C"/>
    <w:pPr>
      <w:spacing w:line="240" w:lineRule="auto"/>
    </w:pPr>
    <w:rPr>
      <w:sz w:val="20"/>
    </w:rPr>
  </w:style>
  <w:style w:type="character" w:customStyle="1" w:styleId="CommentTextChar">
    <w:name w:val="Comment Text Char"/>
    <w:basedOn w:val="DefaultParagraphFont"/>
    <w:link w:val="CommentText"/>
    <w:uiPriority w:val="99"/>
    <w:rsid w:val="0077475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7475C"/>
    <w:rPr>
      <w:b/>
      <w:bCs/>
    </w:rPr>
  </w:style>
  <w:style w:type="character" w:customStyle="1" w:styleId="CommentSubjectChar">
    <w:name w:val="Comment Subject Char"/>
    <w:basedOn w:val="CommentTextChar"/>
    <w:link w:val="CommentSubject"/>
    <w:uiPriority w:val="99"/>
    <w:semiHidden/>
    <w:rsid w:val="0077475C"/>
    <w:rPr>
      <w:rFonts w:ascii="Arial" w:eastAsia="Times New Roman" w:hAnsi="Arial" w:cs="Times New Roman"/>
      <w:b/>
      <w:bCs/>
      <w:sz w:val="20"/>
      <w:szCs w:val="20"/>
    </w:rPr>
  </w:style>
  <w:style w:type="character" w:customStyle="1" w:styleId="Heading1Char">
    <w:name w:val="Heading 1 Char"/>
    <w:aliases w:val="TEMPLATE Level 1 Char"/>
    <w:basedOn w:val="DefaultParagraphFont"/>
    <w:link w:val="Heading1"/>
    <w:rsid w:val="005806BB"/>
    <w:rPr>
      <w:rFonts w:ascii="Arial" w:eastAsia="Times New Roman" w:hAnsi="Arial" w:cs="Times New Roman"/>
      <w:kern w:val="24"/>
      <w:sz w:val="24"/>
      <w:szCs w:val="20"/>
    </w:rPr>
  </w:style>
  <w:style w:type="character" w:customStyle="1" w:styleId="Heading2Char">
    <w:name w:val="Heading 2 Char"/>
    <w:aliases w:val="TEMPLATE Level 2 Char"/>
    <w:basedOn w:val="DefaultParagraphFont"/>
    <w:link w:val="Heading2"/>
    <w:rsid w:val="005806BB"/>
    <w:rPr>
      <w:rFonts w:ascii="Arial" w:eastAsia="Times New Roman" w:hAnsi="Arial" w:cs="Times New Roman"/>
      <w:kern w:val="24"/>
      <w:sz w:val="24"/>
      <w:szCs w:val="20"/>
    </w:rPr>
  </w:style>
  <w:style w:type="character" w:customStyle="1" w:styleId="Heading3Char">
    <w:name w:val="Heading 3 Char"/>
    <w:aliases w:val="TEMPLATE Level 3 Char"/>
    <w:basedOn w:val="DefaultParagraphFont"/>
    <w:link w:val="Heading3"/>
    <w:rsid w:val="005806BB"/>
    <w:rPr>
      <w:rFonts w:ascii="Arial" w:eastAsia="Times New Roman" w:hAnsi="Arial" w:cs="Times New Roman"/>
      <w:kern w:val="24"/>
      <w:sz w:val="24"/>
      <w:szCs w:val="20"/>
    </w:rPr>
  </w:style>
  <w:style w:type="character" w:styleId="FollowedHyperlink">
    <w:name w:val="FollowedHyperlink"/>
    <w:basedOn w:val="DefaultParagraphFont"/>
    <w:uiPriority w:val="99"/>
    <w:semiHidden/>
    <w:unhideWhenUsed/>
    <w:rsid w:val="00BE1966"/>
    <w:rPr>
      <w:color w:val="800080" w:themeColor="followedHyperlink"/>
      <w:u w:val="single"/>
    </w:rPr>
  </w:style>
  <w:style w:type="paragraph" w:styleId="Revision">
    <w:name w:val="Revision"/>
    <w:hidden/>
    <w:uiPriority w:val="99"/>
    <w:semiHidden/>
    <w:rsid w:val="00AB3D3F"/>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615CE6"/>
    <w:rPr>
      <w:color w:val="605E5C"/>
      <w:shd w:val="clear" w:color="auto" w:fill="E1DFDD"/>
    </w:rPr>
  </w:style>
  <w:style w:type="character" w:customStyle="1" w:styleId="cf01">
    <w:name w:val="cf01"/>
    <w:basedOn w:val="DefaultParagraphFont"/>
    <w:rsid w:val="003D1D21"/>
    <w:rPr>
      <w:rFonts w:ascii="Segoe UI" w:hAnsi="Segoe UI" w:cs="Segoe UI" w:hint="default"/>
      <w:sz w:val="18"/>
      <w:szCs w:val="18"/>
    </w:rPr>
  </w:style>
  <w:style w:type="character" w:customStyle="1" w:styleId="eop">
    <w:name w:val="eop"/>
    <w:basedOn w:val="DefaultParagraphFont"/>
    <w:rsid w:val="002D32B6"/>
  </w:style>
  <w:style w:type="character" w:customStyle="1" w:styleId="normaltextrun">
    <w:name w:val="normaltextrun"/>
    <w:basedOn w:val="DefaultParagraphFont"/>
    <w:rsid w:val="00FB7350"/>
  </w:style>
  <w:style w:type="table" w:styleId="TableGrid">
    <w:name w:val="Table Grid"/>
    <w:basedOn w:val="TableNormal"/>
    <w:uiPriority w:val="59"/>
    <w:rsid w:val="00D2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99337">
      <w:bodyDiv w:val="1"/>
      <w:marLeft w:val="0"/>
      <w:marRight w:val="0"/>
      <w:marTop w:val="0"/>
      <w:marBottom w:val="0"/>
      <w:divBdr>
        <w:top w:val="none" w:sz="0" w:space="0" w:color="auto"/>
        <w:left w:val="none" w:sz="0" w:space="0" w:color="auto"/>
        <w:bottom w:val="none" w:sz="0" w:space="0" w:color="auto"/>
        <w:right w:val="none" w:sz="0" w:space="0" w:color="auto"/>
      </w:divBdr>
    </w:div>
    <w:div w:id="428962966">
      <w:bodyDiv w:val="1"/>
      <w:marLeft w:val="0"/>
      <w:marRight w:val="0"/>
      <w:marTop w:val="0"/>
      <w:marBottom w:val="0"/>
      <w:divBdr>
        <w:top w:val="none" w:sz="0" w:space="0" w:color="auto"/>
        <w:left w:val="none" w:sz="0" w:space="0" w:color="auto"/>
        <w:bottom w:val="none" w:sz="0" w:space="0" w:color="auto"/>
        <w:right w:val="none" w:sz="0" w:space="0" w:color="auto"/>
      </w:divBdr>
    </w:div>
    <w:div w:id="436219768">
      <w:bodyDiv w:val="1"/>
      <w:marLeft w:val="0"/>
      <w:marRight w:val="0"/>
      <w:marTop w:val="0"/>
      <w:marBottom w:val="0"/>
      <w:divBdr>
        <w:top w:val="none" w:sz="0" w:space="0" w:color="auto"/>
        <w:left w:val="none" w:sz="0" w:space="0" w:color="auto"/>
        <w:bottom w:val="none" w:sz="0" w:space="0" w:color="auto"/>
        <w:right w:val="none" w:sz="0" w:space="0" w:color="auto"/>
      </w:divBdr>
    </w:div>
    <w:div w:id="580484269">
      <w:bodyDiv w:val="1"/>
      <w:marLeft w:val="0"/>
      <w:marRight w:val="0"/>
      <w:marTop w:val="0"/>
      <w:marBottom w:val="0"/>
      <w:divBdr>
        <w:top w:val="none" w:sz="0" w:space="0" w:color="auto"/>
        <w:left w:val="none" w:sz="0" w:space="0" w:color="auto"/>
        <w:bottom w:val="none" w:sz="0" w:space="0" w:color="auto"/>
        <w:right w:val="none" w:sz="0" w:space="0" w:color="auto"/>
      </w:divBdr>
    </w:div>
    <w:div w:id="587495252">
      <w:bodyDiv w:val="1"/>
      <w:marLeft w:val="0"/>
      <w:marRight w:val="0"/>
      <w:marTop w:val="0"/>
      <w:marBottom w:val="0"/>
      <w:divBdr>
        <w:top w:val="none" w:sz="0" w:space="0" w:color="auto"/>
        <w:left w:val="none" w:sz="0" w:space="0" w:color="auto"/>
        <w:bottom w:val="none" w:sz="0" w:space="0" w:color="auto"/>
        <w:right w:val="none" w:sz="0" w:space="0" w:color="auto"/>
      </w:divBdr>
    </w:div>
    <w:div w:id="723525812">
      <w:bodyDiv w:val="1"/>
      <w:marLeft w:val="0"/>
      <w:marRight w:val="0"/>
      <w:marTop w:val="0"/>
      <w:marBottom w:val="0"/>
      <w:divBdr>
        <w:top w:val="none" w:sz="0" w:space="0" w:color="auto"/>
        <w:left w:val="none" w:sz="0" w:space="0" w:color="auto"/>
        <w:bottom w:val="none" w:sz="0" w:space="0" w:color="auto"/>
        <w:right w:val="none" w:sz="0" w:space="0" w:color="auto"/>
      </w:divBdr>
    </w:div>
    <w:div w:id="1129013564">
      <w:bodyDiv w:val="1"/>
      <w:marLeft w:val="0"/>
      <w:marRight w:val="0"/>
      <w:marTop w:val="0"/>
      <w:marBottom w:val="0"/>
      <w:divBdr>
        <w:top w:val="none" w:sz="0" w:space="0" w:color="auto"/>
        <w:left w:val="none" w:sz="0" w:space="0" w:color="auto"/>
        <w:bottom w:val="none" w:sz="0" w:space="0" w:color="auto"/>
        <w:right w:val="none" w:sz="0" w:space="0" w:color="auto"/>
      </w:divBdr>
    </w:div>
    <w:div w:id="1333878607">
      <w:bodyDiv w:val="1"/>
      <w:marLeft w:val="0"/>
      <w:marRight w:val="0"/>
      <w:marTop w:val="0"/>
      <w:marBottom w:val="0"/>
      <w:divBdr>
        <w:top w:val="none" w:sz="0" w:space="0" w:color="auto"/>
        <w:left w:val="none" w:sz="0" w:space="0" w:color="auto"/>
        <w:bottom w:val="none" w:sz="0" w:space="0" w:color="auto"/>
        <w:right w:val="none" w:sz="0" w:space="0" w:color="auto"/>
      </w:divBdr>
    </w:div>
    <w:div w:id="1518763304">
      <w:bodyDiv w:val="1"/>
      <w:marLeft w:val="0"/>
      <w:marRight w:val="0"/>
      <w:marTop w:val="0"/>
      <w:marBottom w:val="0"/>
      <w:divBdr>
        <w:top w:val="none" w:sz="0" w:space="0" w:color="auto"/>
        <w:left w:val="none" w:sz="0" w:space="0" w:color="auto"/>
        <w:bottom w:val="none" w:sz="0" w:space="0" w:color="auto"/>
        <w:right w:val="none" w:sz="0" w:space="0" w:color="auto"/>
      </w:divBdr>
    </w:div>
    <w:div w:id="1677420648">
      <w:bodyDiv w:val="1"/>
      <w:marLeft w:val="0"/>
      <w:marRight w:val="0"/>
      <w:marTop w:val="0"/>
      <w:marBottom w:val="0"/>
      <w:divBdr>
        <w:top w:val="none" w:sz="0" w:space="0" w:color="auto"/>
        <w:left w:val="none" w:sz="0" w:space="0" w:color="auto"/>
        <w:bottom w:val="none" w:sz="0" w:space="0" w:color="auto"/>
        <w:right w:val="none" w:sz="0" w:space="0" w:color="auto"/>
      </w:divBdr>
    </w:div>
    <w:div w:id="1947539747">
      <w:bodyDiv w:val="1"/>
      <w:marLeft w:val="0"/>
      <w:marRight w:val="0"/>
      <w:marTop w:val="0"/>
      <w:marBottom w:val="0"/>
      <w:divBdr>
        <w:top w:val="none" w:sz="0" w:space="0" w:color="auto"/>
        <w:left w:val="none" w:sz="0" w:space="0" w:color="auto"/>
        <w:bottom w:val="none" w:sz="0" w:space="0" w:color="auto"/>
        <w:right w:val="none" w:sz="0" w:space="0" w:color="auto"/>
      </w:divBdr>
    </w:div>
    <w:div w:id="1994488305">
      <w:bodyDiv w:val="1"/>
      <w:marLeft w:val="0"/>
      <w:marRight w:val="0"/>
      <w:marTop w:val="0"/>
      <w:marBottom w:val="0"/>
      <w:divBdr>
        <w:top w:val="none" w:sz="0" w:space="0" w:color="auto"/>
        <w:left w:val="none" w:sz="0" w:space="0" w:color="auto"/>
        <w:bottom w:val="none" w:sz="0" w:space="0" w:color="auto"/>
        <w:right w:val="none" w:sz="0" w:space="0" w:color="auto"/>
      </w:divBdr>
    </w:div>
    <w:div w:id="21186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groups/united-nations-convention-on-the-rights-of-the-child-uncrc-embedding-childrens-rights-in-public-services-sub-group/"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www.ohchr.org/Documents/ProfessionalInterest/crc.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gov.scot/" TargetMode="External"/><Relationship Id="rId5" Type="http://schemas.openxmlformats.org/officeDocument/2006/relationships/settings" Target="settings.xml"/><Relationship Id="rId10" Type="http://schemas.openxmlformats.org/officeDocument/2006/relationships/hyperlink" Target="mailto:uncrcstatutoryguidanceconsultation@gov.scot" TargetMode="External"/><Relationship Id="rId4" Type="http://schemas.openxmlformats.org/officeDocument/2006/relationships/styles" Target="styles.xml"/><Relationship Id="rId9" Type="http://schemas.openxmlformats.org/officeDocument/2006/relationships/hyperlink" Target="https://www.gov.scot/groups/uncrc-implementation-embedding-in-public-services-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A40571645</value>
    </field>
    <field name="Objective-Title">
      <value order="0">UNCRC Implementation - Consultation on Part 2 and Part 3 Guidance - Overview and Consultation Questions - February 2024</value>
    </field>
    <field name="Objective-Description">
      <value order="0"/>
    </field>
    <field name="Objective-CreationStamp">
      <value order="0">2022-09-09T15:37:56Z</value>
    </field>
    <field name="Objective-IsApproved">
      <value order="0">false</value>
    </field>
    <field name="Objective-IsPublished">
      <value order="0">false</value>
    </field>
    <field name="Objective-DatePublished">
      <value order="0"/>
    </field>
    <field name="Objective-ModificationStamp">
      <value order="0">2024-02-15T15:00:45Z</value>
    </field>
    <field name="Objective-Owner">
      <value order="0">Revie, Susan (Z618819)</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Drafted</value>
    </field>
    <field name="Objective-VersionId">
      <value order="0">vA71049779</value>
    </field>
    <field name="Objective-Version">
      <value order="0">2.21</value>
    </field>
    <field name="Objective-VersionNumber">
      <value order="0">30</value>
    </field>
    <field name="Objective-VersionComment">
      <value order="0">Updated wording on question 7</value>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D6A63CED-22BA-4BFB-BF69-5EEC17A3316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U005190</dc:creator>
  <cp:lastModifiedBy>Luiza Leite</cp:lastModifiedBy>
  <cp:revision>8</cp:revision>
  <dcterms:created xsi:type="dcterms:W3CDTF">2024-02-20T09:45:00Z</dcterms:created>
  <dcterms:modified xsi:type="dcterms:W3CDTF">2024-03-05T12:57:00Z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A40571645</vt:lpwstr>
  </property>
  <property fmtid="{D5CDD505-2E9C-101B-9397-08002B2CF9AE}" pid="4" name="Objective-Title">
    <vt:lpwstr>UNCRC Implementation - Consultation on Part 2 and Part 3 Guidance - Overview and Consultation Questions - February 2024</vt:lpwstr>
  </property>
  <property fmtid="{D5CDD505-2E9C-101B-9397-08002B2CF9AE}" pid="5" name="Objective-Description">
    <vt:lpwstr/>
  </property>
  <property fmtid="{D5CDD505-2E9C-101B-9397-08002B2CF9AE}" pid="6" name="Objective-CreationStamp">
    <vt:filetime>2022-09-09T15:37:56Z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2024-02-15T15:00:45Z</vt:filetime>
  </property>
  <property fmtid="{D5CDD505-2E9C-101B-9397-08002B2CF9AE}" pid="11" name="Objective-Owner">
    <vt:lpwstr>Revie, Susan (Z618819)</vt:lpwstr>
  </property>
  <property fmtid="{D5CDD505-2E9C-101B-9397-08002B2CF9AE}" pid="12"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3" name="Objective-Parent">
    <vt:lpwstr>United Nations (UN) Convention on the Rights of the Child: UNCRC Incorporation Implementation: Embedding Children's Rights in Public Services: 2021-2026</vt:lpwstr>
  </property>
  <property fmtid="{D5CDD505-2E9C-101B-9397-08002B2CF9AE}" pid="14" name="Objective-State">
    <vt:lpwstr>Being Drafted</vt:lpwstr>
  </property>
  <property fmtid="{D5CDD505-2E9C-101B-9397-08002B2CF9AE}" pid="15" name="Objective-VersionId">
    <vt:lpwstr>vA71049779</vt:lpwstr>
  </property>
  <property fmtid="{D5CDD505-2E9C-101B-9397-08002B2CF9AE}" pid="16" name="Objective-Version">
    <vt:lpwstr>2.21</vt:lpwstr>
  </property>
  <property fmtid="{D5CDD505-2E9C-101B-9397-08002B2CF9AE}" pid="17" name="Objective-VersionNumber">
    <vt:r8>30</vt:r8>
  </property>
  <property fmtid="{D5CDD505-2E9C-101B-9397-08002B2CF9AE}" pid="18" name="Objective-VersionComment">
    <vt:lpwstr>Updated wording on question 7</vt:lpwstr>
  </property>
  <property fmtid="{D5CDD505-2E9C-101B-9397-08002B2CF9AE}" pid="19" name="Objective-FileNumber">
    <vt:lpwstr>POL/35445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