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3AE96" w14:textId="77777777" w:rsidR="003105E9" w:rsidRDefault="003105E9" w:rsidP="003105E9">
      <w:pPr>
        <w:rPr>
          <w:rFonts w:ascii="Arial" w:hAnsi="Arial" w:cs="Arial"/>
          <w:b/>
          <w:sz w:val="24"/>
          <w:szCs w:val="24"/>
        </w:rPr>
      </w:pPr>
      <w:bookmarkStart w:id="0" w:name="_GoBack"/>
      <w:bookmarkEnd w:id="0"/>
      <w:r>
        <w:rPr>
          <w:rFonts w:ascii="Arial" w:hAnsi="Arial" w:cs="Arial"/>
          <w:b/>
          <w:sz w:val="24"/>
          <w:szCs w:val="24"/>
        </w:rPr>
        <w:t>Consultation analysis report: Guidance on Children’s Rights (Part 1, section 2) and Children’s Services Planning (Part 3) of the Children and Young People (Scotland) Act 2014</w:t>
      </w:r>
    </w:p>
    <w:p w14:paraId="237D9CB1" w14:textId="77777777" w:rsidR="003105E9" w:rsidRDefault="003105E9" w:rsidP="003105E9">
      <w:pPr>
        <w:rPr>
          <w:rFonts w:ascii="Arial" w:hAnsi="Arial" w:cs="Arial"/>
          <w:b/>
          <w:sz w:val="24"/>
          <w:szCs w:val="24"/>
        </w:rPr>
      </w:pPr>
    </w:p>
    <w:p w14:paraId="24F0F0DE" w14:textId="77777777" w:rsidR="003105E9" w:rsidRDefault="003105E9" w:rsidP="003105E9">
      <w:pPr>
        <w:rPr>
          <w:rFonts w:ascii="Arial" w:hAnsi="Arial" w:cs="Arial"/>
          <w:b/>
          <w:sz w:val="24"/>
          <w:szCs w:val="24"/>
        </w:rPr>
      </w:pPr>
      <w:r w:rsidRPr="004A678F">
        <w:rPr>
          <w:rFonts w:ascii="Arial" w:hAnsi="Arial" w:cs="Arial"/>
          <w:b/>
          <w:sz w:val="24"/>
          <w:szCs w:val="24"/>
        </w:rPr>
        <w:t>The Scottish Government Response</w:t>
      </w:r>
    </w:p>
    <w:p w14:paraId="4A5541D3" w14:textId="77777777" w:rsidR="003105E9" w:rsidRDefault="003105E9" w:rsidP="003105E9">
      <w:pPr>
        <w:rPr>
          <w:rFonts w:ascii="Arial" w:hAnsi="Arial" w:cs="Arial"/>
          <w:b/>
          <w:sz w:val="24"/>
          <w:szCs w:val="24"/>
        </w:rPr>
      </w:pPr>
    </w:p>
    <w:p w14:paraId="43CB18F0" w14:textId="77777777" w:rsidR="003105E9" w:rsidRDefault="003105E9" w:rsidP="003105E9">
      <w:pPr>
        <w:rPr>
          <w:rFonts w:ascii="Arial" w:hAnsi="Arial" w:cs="Arial"/>
          <w:sz w:val="24"/>
          <w:szCs w:val="24"/>
        </w:rPr>
      </w:pPr>
      <w:r w:rsidRPr="001E0F1D">
        <w:rPr>
          <w:rFonts w:ascii="Arial" w:hAnsi="Arial" w:cs="Arial"/>
          <w:sz w:val="24"/>
          <w:szCs w:val="24"/>
        </w:rPr>
        <w:t xml:space="preserve">This is the Scottish Government response to the key findings in the </w:t>
      </w:r>
      <w:hyperlink r:id="rId6" w:history="1">
        <w:r w:rsidRPr="00A6165B">
          <w:rPr>
            <w:rStyle w:val="Hyperlink"/>
            <w:rFonts w:ascii="Arial" w:hAnsi="Arial" w:cs="Arial"/>
            <w:sz w:val="24"/>
            <w:szCs w:val="24"/>
          </w:rPr>
          <w:t>consultation analysis report on draft guidance on Children’s Rights (Part 1, section 2) and Children’s Services Planning (Part 3) of the Children and Young People (Scotland) Act 2014</w:t>
        </w:r>
      </w:hyperlink>
      <w:r>
        <w:rPr>
          <w:rFonts w:ascii="Arial" w:hAnsi="Arial" w:cs="Arial"/>
          <w:sz w:val="24"/>
          <w:szCs w:val="24"/>
        </w:rPr>
        <w:t>, which was published on 30 September 2016.</w:t>
      </w:r>
    </w:p>
    <w:p w14:paraId="61888E7F" w14:textId="77777777" w:rsidR="003105E9" w:rsidRDefault="003105E9" w:rsidP="003105E9">
      <w:pPr>
        <w:pStyle w:val="NormalWeb"/>
        <w:rPr>
          <w:rFonts w:ascii="Arial" w:hAnsi="Arial" w:cs="Arial"/>
          <w:lang w:val="en"/>
        </w:rPr>
      </w:pPr>
      <w:r w:rsidRPr="00D819F1">
        <w:rPr>
          <w:rFonts w:ascii="Arial" w:hAnsi="Arial" w:cs="Arial"/>
          <w:lang w:val="en"/>
        </w:rPr>
        <w:t xml:space="preserve">Part 1 (section 2) of the Children and Young People (Scotland) Act 2014 </w:t>
      </w:r>
      <w:r>
        <w:rPr>
          <w:rFonts w:ascii="Arial" w:hAnsi="Arial" w:cs="Arial"/>
          <w:lang w:val="en"/>
        </w:rPr>
        <w:t xml:space="preserve">(the “Act”) </w:t>
      </w:r>
      <w:r w:rsidRPr="00D819F1">
        <w:rPr>
          <w:rFonts w:ascii="Arial" w:hAnsi="Arial" w:cs="Arial"/>
          <w:lang w:val="en"/>
        </w:rPr>
        <w:t>places a duty on a range of public bodies (including all local authorities and health boards) to report, as soon as practicable after the end of each three-year period, on the steps they have taken to secure</w:t>
      </w:r>
      <w:r>
        <w:rPr>
          <w:rFonts w:ascii="Arial" w:hAnsi="Arial" w:cs="Arial"/>
          <w:lang w:val="en"/>
        </w:rPr>
        <w:t xml:space="preserve"> better </w:t>
      </w:r>
      <w:r w:rsidRPr="00D819F1">
        <w:rPr>
          <w:rFonts w:ascii="Arial" w:hAnsi="Arial" w:cs="Arial"/>
          <w:lang w:val="en"/>
        </w:rPr>
        <w:t xml:space="preserve">or further effect </w:t>
      </w:r>
      <w:r>
        <w:rPr>
          <w:rFonts w:ascii="Arial" w:hAnsi="Arial" w:cs="Arial"/>
          <w:lang w:val="en"/>
        </w:rPr>
        <w:t>within their areas of responsibility</w:t>
      </w:r>
      <w:r w:rsidRPr="00D819F1">
        <w:rPr>
          <w:rFonts w:ascii="Arial" w:hAnsi="Arial" w:cs="Arial"/>
          <w:lang w:val="en"/>
        </w:rPr>
        <w:t xml:space="preserve"> of the United Nations Convention on the Rights of the Child (UNCRC)</w:t>
      </w:r>
      <w:r>
        <w:rPr>
          <w:rFonts w:ascii="Arial" w:hAnsi="Arial" w:cs="Arial"/>
          <w:lang w:val="en"/>
        </w:rPr>
        <w:t xml:space="preserve"> requirements</w:t>
      </w:r>
      <w:r w:rsidRPr="00D819F1">
        <w:rPr>
          <w:rFonts w:ascii="Arial" w:hAnsi="Arial" w:cs="Arial"/>
          <w:lang w:val="en"/>
        </w:rPr>
        <w:t>.</w:t>
      </w:r>
    </w:p>
    <w:p w14:paraId="4ECF79C6" w14:textId="77777777" w:rsidR="003105E9" w:rsidRDefault="003105E9" w:rsidP="003105E9">
      <w:pPr>
        <w:pStyle w:val="NormalWeb"/>
        <w:rPr>
          <w:rFonts w:ascii="Arial" w:hAnsi="Arial" w:cs="Arial"/>
        </w:rPr>
      </w:pPr>
      <w:r w:rsidRPr="00D819F1">
        <w:rPr>
          <w:rFonts w:ascii="Arial" w:hAnsi="Arial" w:cs="Arial"/>
        </w:rPr>
        <w:t xml:space="preserve">Part 3 of the Act places a duty on each local authority and the relevant health board, to jointly prepare a children’s services plan for the area of the local authority covering a 3 year period. </w:t>
      </w:r>
      <w:r>
        <w:rPr>
          <w:rFonts w:ascii="Arial" w:hAnsi="Arial" w:cs="Arial"/>
        </w:rPr>
        <w:t xml:space="preserve"> </w:t>
      </w:r>
      <w:r w:rsidRPr="00D819F1">
        <w:rPr>
          <w:rFonts w:ascii="Arial" w:hAnsi="Arial" w:cs="Arial"/>
        </w:rPr>
        <w:t xml:space="preserve">A range of other relevant local and national bodies are expected to be either consulted with, or obliged to participate, at various stages of the development of the plan. </w:t>
      </w:r>
      <w:r>
        <w:rPr>
          <w:rFonts w:ascii="Arial" w:hAnsi="Arial" w:cs="Arial"/>
        </w:rPr>
        <w:t xml:space="preserve"> </w:t>
      </w:r>
      <w:r w:rsidRPr="00D819F1">
        <w:rPr>
          <w:rFonts w:ascii="Arial" w:hAnsi="Arial" w:cs="Arial"/>
        </w:rPr>
        <w:t>It also requires the local authority and relevant health board to jointly publish an annual report detailing how the provision of children’s services and related services in that area have been provided in accordance with the plan</w:t>
      </w:r>
      <w:r>
        <w:rPr>
          <w:rFonts w:ascii="Arial" w:hAnsi="Arial" w:cs="Arial"/>
        </w:rPr>
        <w:t>.</w:t>
      </w:r>
    </w:p>
    <w:p w14:paraId="087F8064" w14:textId="77777777" w:rsidR="003105E9" w:rsidRDefault="003105E9" w:rsidP="003105E9">
      <w:pPr>
        <w:rPr>
          <w:rFonts w:ascii="Arial" w:hAnsi="Arial" w:cs="Arial"/>
          <w:sz w:val="24"/>
          <w:szCs w:val="24"/>
        </w:rPr>
      </w:pPr>
      <w:r w:rsidRPr="003A4BB5">
        <w:rPr>
          <w:rFonts w:ascii="Arial" w:hAnsi="Arial" w:cs="Arial"/>
          <w:sz w:val="24"/>
          <w:szCs w:val="24"/>
        </w:rPr>
        <w:t>The draft guidance to support Part 1 (section 2) and Part 3 was developed in partnership with the Children’s Rights and Services Planning</w:t>
      </w:r>
      <w:r>
        <w:rPr>
          <w:rFonts w:ascii="Arial" w:hAnsi="Arial" w:cs="Arial"/>
          <w:sz w:val="24"/>
          <w:szCs w:val="24"/>
        </w:rPr>
        <w:t xml:space="preserve"> (CRiSP) </w:t>
      </w:r>
      <w:r w:rsidRPr="003A4BB5">
        <w:rPr>
          <w:rFonts w:ascii="Arial" w:hAnsi="Arial" w:cs="Arial"/>
          <w:sz w:val="24"/>
          <w:szCs w:val="24"/>
        </w:rPr>
        <w:t xml:space="preserve">Working Group, which comprised </w:t>
      </w:r>
      <w:r w:rsidRPr="003A4BB5">
        <w:rPr>
          <w:rFonts w:ascii="Arial" w:hAnsi="Arial" w:cs="Arial"/>
          <w:sz w:val="24"/>
          <w:szCs w:val="24"/>
          <w:lang w:eastAsia="en-GB"/>
        </w:rPr>
        <w:t>external stakeholders in planning and wider roles i</w:t>
      </w:r>
      <w:r>
        <w:rPr>
          <w:rFonts w:ascii="Arial" w:hAnsi="Arial" w:cs="Arial"/>
          <w:sz w:val="24"/>
          <w:szCs w:val="24"/>
          <w:lang w:eastAsia="en-GB"/>
        </w:rPr>
        <w:t>n local authorities, health boards</w:t>
      </w:r>
      <w:r w:rsidRPr="003A4BB5">
        <w:rPr>
          <w:rFonts w:ascii="Arial" w:hAnsi="Arial" w:cs="Arial"/>
          <w:sz w:val="24"/>
          <w:szCs w:val="24"/>
          <w:lang w:eastAsia="en-GB"/>
        </w:rPr>
        <w:t xml:space="preserve"> and the third sector</w:t>
      </w:r>
      <w:r>
        <w:rPr>
          <w:rFonts w:ascii="Arial" w:hAnsi="Arial" w:cs="Arial"/>
          <w:sz w:val="24"/>
          <w:szCs w:val="24"/>
          <w:lang w:eastAsia="en-GB"/>
        </w:rPr>
        <w:t xml:space="preserve">.  This group was supported by four sub groups on </w:t>
      </w:r>
      <w:r>
        <w:rPr>
          <w:rFonts w:ascii="Arial" w:hAnsi="Arial" w:cs="Arial"/>
          <w:sz w:val="24"/>
          <w:szCs w:val="24"/>
        </w:rPr>
        <w:t>Children’s Rights, Outcome Reporting, Planning Structures and Governance and Prevention.</w:t>
      </w:r>
    </w:p>
    <w:p w14:paraId="1E6D3F8B" w14:textId="77777777" w:rsidR="003105E9" w:rsidRDefault="003105E9" w:rsidP="003105E9">
      <w:pPr>
        <w:rPr>
          <w:rFonts w:ascii="Arial" w:hAnsi="Arial" w:cs="Arial"/>
          <w:sz w:val="24"/>
          <w:szCs w:val="24"/>
        </w:rPr>
      </w:pPr>
    </w:p>
    <w:p w14:paraId="602B6859" w14:textId="77777777" w:rsidR="003105E9" w:rsidRDefault="003105E9" w:rsidP="003105E9">
      <w:pPr>
        <w:pStyle w:val="NoSpacing"/>
        <w:rPr>
          <w:rFonts w:ascii="Arial" w:hAnsi="Arial" w:cs="Arial"/>
          <w:sz w:val="24"/>
          <w:szCs w:val="24"/>
        </w:rPr>
      </w:pPr>
      <w:r>
        <w:rPr>
          <w:rFonts w:ascii="Arial" w:hAnsi="Arial" w:cs="Arial"/>
          <w:sz w:val="24"/>
          <w:szCs w:val="24"/>
          <w:lang w:eastAsia="en-GB"/>
        </w:rPr>
        <w:t>A</w:t>
      </w:r>
      <w:r>
        <w:rPr>
          <w:rFonts w:ascii="Arial" w:hAnsi="Arial" w:cs="Arial"/>
          <w:sz w:val="24"/>
          <w:szCs w:val="24"/>
        </w:rPr>
        <w:t xml:space="preserve"> public consultation on the draft guidance took place between 21 March and 13 June 2016.  It invited views on the scope and use of the guidance and the relationship between Part 1 (section 2) and Part 3.  Fifty eight responses were received, including from third sector organisations, local government, public bodies and health boards. </w:t>
      </w:r>
    </w:p>
    <w:p w14:paraId="7C4F08A7" w14:textId="77777777" w:rsidR="003105E9" w:rsidRDefault="003105E9" w:rsidP="003105E9">
      <w:pPr>
        <w:rPr>
          <w:rFonts w:ascii="Arial" w:hAnsi="Arial" w:cs="Arial"/>
          <w:sz w:val="24"/>
          <w:szCs w:val="24"/>
        </w:rPr>
      </w:pPr>
    </w:p>
    <w:p w14:paraId="7F0BE533" w14:textId="77777777" w:rsidR="003105E9" w:rsidRDefault="003105E9" w:rsidP="003105E9">
      <w:pPr>
        <w:rPr>
          <w:rFonts w:ascii="Arial" w:hAnsi="Arial" w:cs="Arial"/>
          <w:sz w:val="24"/>
          <w:szCs w:val="24"/>
        </w:rPr>
      </w:pPr>
      <w:r>
        <w:rPr>
          <w:rFonts w:ascii="Arial" w:hAnsi="Arial" w:cs="Arial"/>
          <w:sz w:val="24"/>
          <w:szCs w:val="24"/>
        </w:rPr>
        <w:t>In response to the key findings set out in the consultation analysis report, the draft guidance will be revised and ready for publication during the Autumn 2016.  The guidance will be widely disseminated to key stakeholder groups, including local authorities, health boards, community planning partnerships, public bodies and third sector organisations working with children and young people.</w:t>
      </w:r>
    </w:p>
    <w:p w14:paraId="0664E385" w14:textId="77777777" w:rsidR="003105E9" w:rsidRDefault="003105E9" w:rsidP="003105E9">
      <w:pPr>
        <w:rPr>
          <w:rFonts w:ascii="Arial" w:hAnsi="Arial" w:cs="Arial"/>
          <w:sz w:val="24"/>
          <w:szCs w:val="24"/>
        </w:rPr>
      </w:pPr>
    </w:p>
    <w:p w14:paraId="677920E2" w14:textId="77777777" w:rsidR="003105E9" w:rsidRDefault="003105E9" w:rsidP="003105E9">
      <w:pPr>
        <w:rPr>
          <w:rFonts w:ascii="Arial" w:hAnsi="Arial" w:cs="Arial"/>
          <w:sz w:val="24"/>
          <w:szCs w:val="24"/>
        </w:rPr>
      </w:pPr>
      <w:r>
        <w:rPr>
          <w:rFonts w:ascii="Arial" w:hAnsi="Arial" w:cs="Arial"/>
          <w:sz w:val="24"/>
          <w:szCs w:val="24"/>
        </w:rPr>
        <w:t xml:space="preserve">The key issues in the consultation analysis report are set out below.  </w:t>
      </w:r>
    </w:p>
    <w:p w14:paraId="2CEF6774" w14:textId="77777777" w:rsidR="003105E9" w:rsidRDefault="003105E9" w:rsidP="003105E9">
      <w:pPr>
        <w:rPr>
          <w:rFonts w:ascii="Arial" w:hAnsi="Arial" w:cs="Arial"/>
          <w:sz w:val="24"/>
          <w:szCs w:val="24"/>
        </w:rPr>
      </w:pPr>
    </w:p>
    <w:p w14:paraId="77608F73" w14:textId="77777777" w:rsidR="003105E9" w:rsidRDefault="003105E9" w:rsidP="003105E9">
      <w:pPr>
        <w:spacing w:after="200" w:line="276" w:lineRule="auto"/>
        <w:rPr>
          <w:rFonts w:ascii="Arial" w:hAnsi="Arial" w:cs="Arial"/>
          <w:sz w:val="24"/>
          <w:szCs w:val="24"/>
        </w:rPr>
      </w:pPr>
      <w:r>
        <w:rPr>
          <w:rFonts w:ascii="Arial" w:hAnsi="Arial" w:cs="Arial"/>
          <w:sz w:val="24"/>
          <w:szCs w:val="24"/>
        </w:rPr>
        <w:br w:type="page"/>
      </w:r>
    </w:p>
    <w:p w14:paraId="4E6C2577" w14:textId="77777777" w:rsidR="003105E9" w:rsidRDefault="003105E9" w:rsidP="003105E9">
      <w:pPr>
        <w:rPr>
          <w:rFonts w:ascii="Arial" w:hAnsi="Arial" w:cs="Arial"/>
          <w:b/>
          <w:sz w:val="24"/>
          <w:szCs w:val="24"/>
          <w:u w:val="single"/>
        </w:rPr>
      </w:pPr>
      <w:r w:rsidRPr="007815C3">
        <w:rPr>
          <w:rFonts w:ascii="Arial" w:hAnsi="Arial" w:cs="Arial"/>
          <w:b/>
          <w:sz w:val="24"/>
          <w:szCs w:val="24"/>
          <w:u w:val="single"/>
        </w:rPr>
        <w:lastRenderedPageBreak/>
        <w:t xml:space="preserve">Part 1 (section </w:t>
      </w:r>
      <w:r>
        <w:rPr>
          <w:rFonts w:ascii="Arial" w:hAnsi="Arial" w:cs="Arial"/>
          <w:b/>
          <w:sz w:val="24"/>
          <w:szCs w:val="24"/>
          <w:u w:val="single"/>
        </w:rPr>
        <w:t>2</w:t>
      </w:r>
      <w:r w:rsidRPr="007815C3">
        <w:rPr>
          <w:rFonts w:ascii="Arial" w:hAnsi="Arial" w:cs="Arial"/>
          <w:b/>
          <w:sz w:val="24"/>
          <w:szCs w:val="24"/>
          <w:u w:val="single"/>
        </w:rPr>
        <w:t>)</w:t>
      </w:r>
    </w:p>
    <w:p w14:paraId="25E61548" w14:textId="77777777" w:rsidR="003105E9" w:rsidRDefault="003105E9" w:rsidP="003105E9">
      <w:pPr>
        <w:rPr>
          <w:rFonts w:ascii="Arial" w:hAnsi="Arial" w:cs="Arial"/>
          <w:b/>
          <w:sz w:val="24"/>
          <w:szCs w:val="24"/>
          <w:u w:val="single"/>
        </w:rPr>
      </w:pPr>
    </w:p>
    <w:p w14:paraId="06CB36D6" w14:textId="77777777" w:rsidR="003105E9" w:rsidRDefault="003105E9" w:rsidP="003105E9">
      <w:pPr>
        <w:rPr>
          <w:rFonts w:ascii="Arial" w:hAnsi="Arial" w:cs="Arial"/>
          <w:b/>
          <w:sz w:val="24"/>
          <w:szCs w:val="24"/>
        </w:rPr>
      </w:pPr>
      <w:r>
        <w:rPr>
          <w:rFonts w:ascii="Arial" w:hAnsi="Arial" w:cs="Arial"/>
          <w:b/>
          <w:sz w:val="24"/>
          <w:szCs w:val="24"/>
        </w:rPr>
        <w:t xml:space="preserve">An </w:t>
      </w:r>
      <w:r w:rsidRPr="00054A3C">
        <w:rPr>
          <w:rFonts w:ascii="Arial" w:hAnsi="Arial" w:cs="Arial"/>
          <w:b/>
          <w:sz w:val="24"/>
          <w:szCs w:val="24"/>
        </w:rPr>
        <w:t>Executive Summary</w:t>
      </w:r>
      <w:r>
        <w:rPr>
          <w:rFonts w:ascii="Arial" w:hAnsi="Arial" w:cs="Arial"/>
          <w:b/>
          <w:sz w:val="24"/>
          <w:szCs w:val="24"/>
        </w:rPr>
        <w:t xml:space="preserve"> was recommended by a number of respondents</w:t>
      </w:r>
    </w:p>
    <w:p w14:paraId="3D0374C0" w14:textId="77777777" w:rsidR="003105E9" w:rsidRDefault="003105E9" w:rsidP="003105E9">
      <w:pPr>
        <w:rPr>
          <w:rFonts w:ascii="Arial" w:hAnsi="Arial" w:cs="Arial"/>
          <w:b/>
          <w:sz w:val="24"/>
          <w:szCs w:val="24"/>
        </w:rPr>
      </w:pPr>
    </w:p>
    <w:p w14:paraId="48A2CEC1" w14:textId="77777777" w:rsidR="003105E9" w:rsidRPr="00C16CA8" w:rsidRDefault="003105E9" w:rsidP="003105E9">
      <w:pPr>
        <w:rPr>
          <w:rFonts w:ascii="Arial" w:hAnsi="Arial" w:cs="Arial"/>
          <w:sz w:val="24"/>
          <w:szCs w:val="24"/>
        </w:rPr>
      </w:pPr>
      <w:r w:rsidRPr="00C16CA8">
        <w:rPr>
          <w:rFonts w:ascii="Arial" w:hAnsi="Arial" w:cs="Arial"/>
          <w:sz w:val="24"/>
          <w:szCs w:val="24"/>
        </w:rPr>
        <w:t>The guidance</w:t>
      </w:r>
      <w:r>
        <w:rPr>
          <w:rFonts w:ascii="Arial" w:hAnsi="Arial" w:cs="Arial"/>
          <w:sz w:val="24"/>
          <w:szCs w:val="24"/>
        </w:rPr>
        <w:t xml:space="preserve"> will include an overview of the non-statutory guidance to signpost and reference the guidance content. </w:t>
      </w:r>
    </w:p>
    <w:p w14:paraId="28E29642" w14:textId="77777777" w:rsidR="003105E9" w:rsidRDefault="003105E9" w:rsidP="003105E9">
      <w:pPr>
        <w:rPr>
          <w:rFonts w:ascii="Arial" w:hAnsi="Arial" w:cs="Arial"/>
          <w:sz w:val="24"/>
          <w:szCs w:val="24"/>
        </w:rPr>
      </w:pPr>
    </w:p>
    <w:p w14:paraId="17AB3B25" w14:textId="77777777" w:rsidR="003105E9" w:rsidRDefault="003105E9" w:rsidP="003105E9">
      <w:pPr>
        <w:rPr>
          <w:rFonts w:ascii="Arial" w:hAnsi="Arial" w:cs="Arial"/>
          <w:b/>
          <w:sz w:val="24"/>
          <w:szCs w:val="24"/>
        </w:rPr>
      </w:pPr>
      <w:r>
        <w:rPr>
          <w:rFonts w:ascii="Arial" w:hAnsi="Arial" w:cs="Arial"/>
          <w:b/>
          <w:sz w:val="24"/>
          <w:szCs w:val="24"/>
        </w:rPr>
        <w:t>Links</w:t>
      </w:r>
      <w:r w:rsidRPr="007815C3">
        <w:rPr>
          <w:rFonts w:ascii="Arial" w:hAnsi="Arial" w:cs="Arial"/>
          <w:b/>
          <w:sz w:val="24"/>
          <w:szCs w:val="24"/>
        </w:rPr>
        <w:t xml:space="preserve"> between </w:t>
      </w:r>
      <w:r>
        <w:rPr>
          <w:rFonts w:ascii="Arial" w:hAnsi="Arial" w:cs="Arial"/>
          <w:b/>
          <w:sz w:val="24"/>
          <w:szCs w:val="24"/>
        </w:rPr>
        <w:t xml:space="preserve">the UNCRC articles and </w:t>
      </w:r>
      <w:r w:rsidRPr="007815C3">
        <w:rPr>
          <w:rFonts w:ascii="Arial" w:hAnsi="Arial" w:cs="Arial"/>
          <w:b/>
          <w:sz w:val="24"/>
          <w:szCs w:val="24"/>
        </w:rPr>
        <w:t>SHANARRI</w:t>
      </w:r>
      <w:r>
        <w:rPr>
          <w:rFonts w:ascii="Arial" w:hAnsi="Arial" w:cs="Arial"/>
          <w:b/>
          <w:sz w:val="24"/>
          <w:szCs w:val="24"/>
        </w:rPr>
        <w:t xml:space="preserve"> could be strengthened</w:t>
      </w:r>
      <w:r w:rsidRPr="007815C3">
        <w:rPr>
          <w:rFonts w:ascii="Arial" w:hAnsi="Arial" w:cs="Arial"/>
          <w:b/>
          <w:sz w:val="24"/>
          <w:szCs w:val="24"/>
        </w:rPr>
        <w:t xml:space="preserve"> </w:t>
      </w:r>
    </w:p>
    <w:p w14:paraId="1F08B3C4" w14:textId="77777777" w:rsidR="003105E9" w:rsidRDefault="003105E9" w:rsidP="003105E9">
      <w:pPr>
        <w:rPr>
          <w:rFonts w:ascii="Arial" w:hAnsi="Arial" w:cs="Arial"/>
          <w:b/>
          <w:sz w:val="24"/>
          <w:szCs w:val="24"/>
        </w:rPr>
      </w:pPr>
    </w:p>
    <w:p w14:paraId="2BE517F5" w14:textId="77777777" w:rsidR="003105E9" w:rsidRPr="005A129E" w:rsidRDefault="003105E9" w:rsidP="003105E9">
      <w:pPr>
        <w:rPr>
          <w:rFonts w:ascii="Arial" w:hAnsi="Arial" w:cs="Arial"/>
          <w:sz w:val="24"/>
          <w:szCs w:val="24"/>
        </w:rPr>
      </w:pPr>
      <w:r w:rsidRPr="005A129E">
        <w:rPr>
          <w:rFonts w:ascii="Arial" w:hAnsi="Arial" w:cs="Arial"/>
          <w:sz w:val="24"/>
          <w:szCs w:val="24"/>
        </w:rPr>
        <w:t xml:space="preserve">The guidance will </w:t>
      </w:r>
      <w:r>
        <w:rPr>
          <w:rFonts w:ascii="Arial" w:hAnsi="Arial" w:cs="Arial"/>
          <w:sz w:val="24"/>
          <w:szCs w:val="24"/>
        </w:rPr>
        <w:t xml:space="preserve">highlight that the illustrative list of UNCRC articles relating to SHANARRI indicators drawn from the CRWIA is not exhaustive.  It will suggest that public authorities should consider if other UNCRC Articles are relevant by referring to the UNCRC. </w:t>
      </w:r>
    </w:p>
    <w:p w14:paraId="0ED4DCDC" w14:textId="77777777" w:rsidR="003105E9" w:rsidRPr="007815C3" w:rsidRDefault="003105E9" w:rsidP="003105E9">
      <w:pPr>
        <w:rPr>
          <w:rFonts w:ascii="Arial" w:hAnsi="Arial" w:cs="Arial"/>
          <w:b/>
          <w:sz w:val="24"/>
          <w:szCs w:val="24"/>
        </w:rPr>
      </w:pPr>
    </w:p>
    <w:p w14:paraId="1729A902" w14:textId="77777777" w:rsidR="003105E9" w:rsidRPr="00D632E3" w:rsidRDefault="003105E9" w:rsidP="003105E9">
      <w:pPr>
        <w:rPr>
          <w:rFonts w:ascii="Arial" w:hAnsi="Arial" w:cs="Arial"/>
          <w:sz w:val="24"/>
          <w:szCs w:val="24"/>
        </w:rPr>
      </w:pPr>
      <w:r w:rsidRPr="00D632E3">
        <w:rPr>
          <w:rFonts w:ascii="Arial" w:hAnsi="Arial" w:cs="Arial"/>
          <w:sz w:val="24"/>
          <w:szCs w:val="24"/>
        </w:rPr>
        <w:t>An additional cluster, Violence against Children, has been added to the suggested framework for reporting in line with the UN</w:t>
      </w:r>
      <w:r>
        <w:rPr>
          <w:rFonts w:ascii="Arial" w:hAnsi="Arial" w:cs="Arial"/>
          <w:sz w:val="24"/>
          <w:szCs w:val="24"/>
        </w:rPr>
        <w:t xml:space="preserve"> Committee’s </w:t>
      </w:r>
      <w:r w:rsidRPr="00D632E3">
        <w:rPr>
          <w:rFonts w:ascii="Arial" w:hAnsi="Arial" w:cs="Arial"/>
          <w:sz w:val="24"/>
          <w:szCs w:val="24"/>
        </w:rPr>
        <w:t>expansion of the number of clusters used for state party reports.</w:t>
      </w:r>
    </w:p>
    <w:p w14:paraId="34457756" w14:textId="77777777" w:rsidR="003105E9" w:rsidRDefault="003105E9" w:rsidP="003105E9">
      <w:pPr>
        <w:rPr>
          <w:rFonts w:ascii="Arial" w:hAnsi="Arial" w:cs="Arial"/>
          <w:b/>
          <w:sz w:val="24"/>
          <w:szCs w:val="24"/>
        </w:rPr>
      </w:pPr>
    </w:p>
    <w:p w14:paraId="67FFEE43" w14:textId="77777777" w:rsidR="003105E9" w:rsidRDefault="003105E9" w:rsidP="003105E9">
      <w:pPr>
        <w:rPr>
          <w:rFonts w:ascii="Arial" w:hAnsi="Arial" w:cs="Arial"/>
          <w:b/>
          <w:sz w:val="24"/>
          <w:szCs w:val="24"/>
        </w:rPr>
      </w:pPr>
      <w:r>
        <w:rPr>
          <w:rFonts w:ascii="Arial" w:hAnsi="Arial" w:cs="Arial"/>
          <w:b/>
          <w:sz w:val="24"/>
          <w:szCs w:val="24"/>
        </w:rPr>
        <w:t>There should be more references to engagement of disadvantaged or vulnerable children and young people</w:t>
      </w:r>
    </w:p>
    <w:p w14:paraId="6064803E" w14:textId="77777777" w:rsidR="003105E9" w:rsidRDefault="003105E9" w:rsidP="003105E9">
      <w:pPr>
        <w:rPr>
          <w:rFonts w:ascii="Arial" w:hAnsi="Arial" w:cs="Arial"/>
          <w:b/>
          <w:sz w:val="24"/>
          <w:szCs w:val="24"/>
        </w:rPr>
      </w:pPr>
    </w:p>
    <w:p w14:paraId="0A98A6B0" w14:textId="77777777" w:rsidR="003105E9" w:rsidRPr="00A718F8" w:rsidRDefault="003105E9" w:rsidP="003105E9">
      <w:pPr>
        <w:rPr>
          <w:rFonts w:ascii="Arial" w:hAnsi="Arial" w:cs="Arial"/>
          <w:sz w:val="24"/>
          <w:szCs w:val="24"/>
        </w:rPr>
      </w:pPr>
      <w:r>
        <w:rPr>
          <w:rFonts w:ascii="Arial" w:hAnsi="Arial" w:cs="Arial"/>
          <w:sz w:val="24"/>
          <w:szCs w:val="24"/>
        </w:rPr>
        <w:t>The guidance will expand reference to the different groups of children and young people that public bodies should engage with, and take account of, in developing reports.  It will highlight that public authorities should take account of children and young people with diverse experiences, views and circumstances with specific attention being paid to children and young people who are marginalised and/or from minority groups.</w:t>
      </w:r>
    </w:p>
    <w:p w14:paraId="1D3F7173" w14:textId="77777777" w:rsidR="003105E9" w:rsidRDefault="003105E9" w:rsidP="003105E9">
      <w:pPr>
        <w:rPr>
          <w:rFonts w:ascii="Arial" w:hAnsi="Arial" w:cs="Arial"/>
          <w:b/>
          <w:sz w:val="24"/>
          <w:szCs w:val="24"/>
        </w:rPr>
      </w:pPr>
    </w:p>
    <w:p w14:paraId="25F01581" w14:textId="77777777" w:rsidR="003105E9" w:rsidRDefault="003105E9" w:rsidP="003105E9">
      <w:pPr>
        <w:rPr>
          <w:rFonts w:ascii="Arial" w:hAnsi="Arial" w:cs="Arial"/>
          <w:b/>
          <w:sz w:val="24"/>
          <w:szCs w:val="24"/>
        </w:rPr>
      </w:pPr>
      <w:r>
        <w:rPr>
          <w:rFonts w:ascii="Arial" w:hAnsi="Arial" w:cs="Arial"/>
          <w:b/>
          <w:sz w:val="24"/>
          <w:szCs w:val="24"/>
        </w:rPr>
        <w:t xml:space="preserve">There were requests for </w:t>
      </w:r>
      <w:r w:rsidRPr="007F01B0">
        <w:rPr>
          <w:rFonts w:ascii="Arial" w:hAnsi="Arial" w:cs="Arial"/>
          <w:b/>
          <w:sz w:val="24"/>
          <w:szCs w:val="24"/>
        </w:rPr>
        <w:t xml:space="preserve">baseline </w:t>
      </w:r>
      <w:r>
        <w:rPr>
          <w:rFonts w:ascii="Arial" w:hAnsi="Arial" w:cs="Arial"/>
          <w:b/>
          <w:sz w:val="24"/>
          <w:szCs w:val="24"/>
        </w:rPr>
        <w:t xml:space="preserve">or minimum national standards </w:t>
      </w:r>
    </w:p>
    <w:p w14:paraId="0675CFB5" w14:textId="77777777" w:rsidR="003105E9" w:rsidRDefault="003105E9" w:rsidP="003105E9">
      <w:pPr>
        <w:rPr>
          <w:rFonts w:ascii="Arial" w:hAnsi="Arial" w:cs="Arial"/>
          <w:b/>
          <w:sz w:val="24"/>
          <w:szCs w:val="24"/>
        </w:rPr>
      </w:pPr>
    </w:p>
    <w:p w14:paraId="70ADFE0F" w14:textId="77777777" w:rsidR="003105E9" w:rsidRDefault="003105E9" w:rsidP="003105E9">
      <w:pPr>
        <w:rPr>
          <w:rFonts w:ascii="Arial" w:hAnsi="Arial" w:cs="Arial"/>
          <w:sz w:val="24"/>
          <w:szCs w:val="24"/>
        </w:rPr>
      </w:pPr>
      <w:r>
        <w:rPr>
          <w:rFonts w:ascii="Arial" w:hAnsi="Arial" w:cs="Arial"/>
          <w:sz w:val="24"/>
          <w:szCs w:val="24"/>
        </w:rPr>
        <w:t xml:space="preserve">The guidance will add emphasis to the paragraph on developing baseline data, suggesting that data should be measurable in order to inform the reports. </w:t>
      </w:r>
    </w:p>
    <w:p w14:paraId="5DF88533" w14:textId="77777777" w:rsidR="003105E9" w:rsidRDefault="003105E9" w:rsidP="003105E9">
      <w:pPr>
        <w:rPr>
          <w:rFonts w:ascii="Arial" w:hAnsi="Arial" w:cs="Arial"/>
          <w:sz w:val="24"/>
          <w:szCs w:val="24"/>
        </w:rPr>
      </w:pPr>
    </w:p>
    <w:p w14:paraId="221AEA31" w14:textId="6C7D3406" w:rsidR="003105E9" w:rsidRPr="000C39BC" w:rsidRDefault="003105E9" w:rsidP="003105E9">
      <w:pPr>
        <w:shd w:val="clear" w:color="auto" w:fill="FFFFFF"/>
        <w:spacing w:after="240"/>
        <w:rPr>
          <w:rFonts w:ascii="Arial" w:hAnsi="Arial" w:cs="Arial"/>
          <w:color w:val="000000"/>
          <w:sz w:val="24"/>
          <w:szCs w:val="24"/>
        </w:rPr>
      </w:pPr>
      <w:r w:rsidRPr="000C39BC">
        <w:rPr>
          <w:rFonts w:ascii="Arial" w:hAnsi="Arial" w:cs="Arial"/>
          <w:sz w:val="24"/>
          <w:szCs w:val="24"/>
        </w:rPr>
        <w:t xml:space="preserve">We have also developed the </w:t>
      </w:r>
      <w:hyperlink r:id="rId7" w:history="1">
        <w:r w:rsidRPr="000C39BC">
          <w:rPr>
            <w:rStyle w:val="Hyperlink"/>
            <w:rFonts w:ascii="Arial" w:hAnsi="Arial" w:cs="Arial"/>
            <w:sz w:val="24"/>
            <w:szCs w:val="24"/>
          </w:rPr>
          <w:t>Child Rights and Wellbeing Impact Assessment (CRWIA)</w:t>
        </w:r>
      </w:hyperlink>
      <w:r w:rsidRPr="000C39BC">
        <w:rPr>
          <w:rFonts w:ascii="Arial" w:hAnsi="Arial" w:cs="Arial"/>
          <w:color w:val="000000"/>
          <w:sz w:val="24"/>
          <w:szCs w:val="24"/>
        </w:rPr>
        <w:t xml:space="preserve">, which is a policy development and improvement approach used by Scottish Government officials, but is also available for public authorities and </w:t>
      </w:r>
      <w:r>
        <w:rPr>
          <w:rFonts w:ascii="Arial" w:hAnsi="Arial" w:cs="Arial"/>
          <w:color w:val="000000"/>
          <w:sz w:val="24"/>
          <w:szCs w:val="24"/>
        </w:rPr>
        <w:t xml:space="preserve">others planning, delivering and reporting on </w:t>
      </w:r>
      <w:r w:rsidRPr="000C39BC">
        <w:rPr>
          <w:rFonts w:ascii="Arial" w:hAnsi="Arial" w:cs="Arial"/>
          <w:color w:val="000000"/>
          <w:sz w:val="24"/>
          <w:szCs w:val="24"/>
        </w:rPr>
        <w:t xml:space="preserve">children’s services to adapt for their own uses, if they wish. The CRWIA has been designed to help support Ministers in meeting their duties under </w:t>
      </w:r>
      <w:r>
        <w:rPr>
          <w:rFonts w:ascii="Arial" w:hAnsi="Arial" w:cs="Arial"/>
          <w:color w:val="000000"/>
          <w:sz w:val="24"/>
          <w:szCs w:val="24"/>
        </w:rPr>
        <w:t xml:space="preserve">Part 1 of the Act </w:t>
      </w:r>
      <w:r w:rsidRPr="000C39BC">
        <w:rPr>
          <w:rFonts w:ascii="Arial" w:hAnsi="Arial" w:cs="Arial"/>
          <w:color w:val="000000"/>
          <w:sz w:val="24"/>
          <w:szCs w:val="24"/>
        </w:rPr>
        <w:t xml:space="preserve">and in relation to the </w:t>
      </w:r>
      <w:r>
        <w:rPr>
          <w:rFonts w:ascii="Arial" w:hAnsi="Arial" w:cs="Arial"/>
          <w:color w:val="000000"/>
          <w:sz w:val="24"/>
          <w:szCs w:val="24"/>
        </w:rPr>
        <w:t xml:space="preserve">UNCRC articles. The </w:t>
      </w:r>
      <w:r w:rsidRPr="000C39BC">
        <w:rPr>
          <w:rFonts w:ascii="Arial" w:hAnsi="Arial" w:cs="Arial"/>
          <w:color w:val="000000"/>
          <w:sz w:val="24"/>
          <w:szCs w:val="24"/>
        </w:rPr>
        <w:t xml:space="preserve">CRWIA helps to assess whether policies, measures and legislation will help </w:t>
      </w:r>
      <w:r>
        <w:rPr>
          <w:rFonts w:ascii="Arial" w:hAnsi="Arial" w:cs="Arial"/>
          <w:color w:val="000000"/>
          <w:sz w:val="24"/>
          <w:szCs w:val="24"/>
        </w:rPr>
        <w:t xml:space="preserve">further take forward children’s rights in Scotland </w:t>
      </w:r>
      <w:r w:rsidRPr="000C39BC">
        <w:rPr>
          <w:rFonts w:ascii="Arial" w:hAnsi="Arial" w:cs="Arial"/>
          <w:color w:val="000000"/>
          <w:sz w:val="24"/>
          <w:szCs w:val="24"/>
        </w:rPr>
        <w:t>and protect and promote the</w:t>
      </w:r>
      <w:r>
        <w:rPr>
          <w:rFonts w:ascii="Arial" w:hAnsi="Arial" w:cs="Arial"/>
          <w:color w:val="000000"/>
          <w:sz w:val="24"/>
          <w:szCs w:val="24"/>
        </w:rPr>
        <w:t xml:space="preserve"> wellbeing of children and young people, as</w:t>
      </w:r>
      <w:r w:rsidRPr="000C39BC">
        <w:rPr>
          <w:rFonts w:ascii="Arial" w:hAnsi="Arial" w:cs="Arial"/>
          <w:color w:val="000000"/>
          <w:sz w:val="24"/>
          <w:szCs w:val="24"/>
        </w:rPr>
        <w:t xml:space="preserve"> defined by the</w:t>
      </w:r>
      <w:r>
        <w:rPr>
          <w:rFonts w:ascii="Arial" w:hAnsi="Arial" w:cs="Arial"/>
          <w:color w:val="000000"/>
          <w:sz w:val="24"/>
          <w:szCs w:val="24"/>
        </w:rPr>
        <w:t xml:space="preserve"> SHANARRI </w:t>
      </w:r>
      <w:r w:rsidRPr="000C39BC">
        <w:rPr>
          <w:rFonts w:ascii="Arial" w:hAnsi="Arial" w:cs="Arial"/>
          <w:color w:val="000000"/>
          <w:sz w:val="24"/>
          <w:szCs w:val="24"/>
        </w:rPr>
        <w:t>indicators in the Act.</w:t>
      </w:r>
    </w:p>
    <w:p w14:paraId="7D972C85" w14:textId="77777777" w:rsidR="003105E9" w:rsidRPr="007815C3" w:rsidRDefault="003105E9" w:rsidP="003105E9">
      <w:pPr>
        <w:rPr>
          <w:rFonts w:ascii="Arial" w:hAnsi="Arial" w:cs="Arial"/>
          <w:b/>
          <w:sz w:val="24"/>
          <w:szCs w:val="24"/>
        </w:rPr>
      </w:pPr>
      <w:r>
        <w:rPr>
          <w:rFonts w:ascii="Arial" w:hAnsi="Arial" w:cs="Arial"/>
          <w:b/>
          <w:sz w:val="24"/>
          <w:szCs w:val="24"/>
        </w:rPr>
        <w:t>Some respondents asked for “g</w:t>
      </w:r>
      <w:r w:rsidRPr="007815C3">
        <w:rPr>
          <w:rFonts w:ascii="Arial" w:hAnsi="Arial" w:cs="Arial"/>
          <w:b/>
          <w:sz w:val="24"/>
          <w:szCs w:val="24"/>
        </w:rPr>
        <w:t xml:space="preserve">ive further effect” </w:t>
      </w:r>
      <w:r>
        <w:rPr>
          <w:rFonts w:ascii="Arial" w:hAnsi="Arial" w:cs="Arial"/>
          <w:b/>
          <w:sz w:val="24"/>
          <w:szCs w:val="24"/>
        </w:rPr>
        <w:t xml:space="preserve">to be clarified </w:t>
      </w:r>
    </w:p>
    <w:p w14:paraId="2B93D88A" w14:textId="77777777" w:rsidR="003105E9" w:rsidRDefault="003105E9" w:rsidP="003105E9">
      <w:pPr>
        <w:rPr>
          <w:rFonts w:ascii="Arial" w:hAnsi="Arial" w:cs="Arial"/>
          <w:sz w:val="24"/>
          <w:szCs w:val="24"/>
        </w:rPr>
      </w:pPr>
    </w:p>
    <w:p w14:paraId="61E6E11A" w14:textId="77777777" w:rsidR="003105E9" w:rsidRPr="00993BF9" w:rsidRDefault="003105E9" w:rsidP="003105E9">
      <w:pPr>
        <w:rPr>
          <w:rFonts w:ascii="Arial" w:hAnsi="Arial"/>
          <w:sz w:val="24"/>
        </w:rPr>
      </w:pPr>
      <w:r>
        <w:rPr>
          <w:rFonts w:ascii="Arial" w:hAnsi="Arial"/>
          <w:sz w:val="24"/>
        </w:rPr>
        <w:t>The guidance will include a clarification of the use of this term in order to inform public authorities’ considerations of section</w:t>
      </w:r>
      <w:r w:rsidRPr="00993BF9">
        <w:rPr>
          <w:rFonts w:ascii="Arial" w:hAnsi="Arial"/>
          <w:sz w:val="24"/>
        </w:rPr>
        <w:t xml:space="preserve"> 2 (1) of the Act. </w:t>
      </w:r>
    </w:p>
    <w:p w14:paraId="71567A69" w14:textId="77777777" w:rsidR="003105E9" w:rsidRDefault="003105E9" w:rsidP="003105E9">
      <w:pPr>
        <w:rPr>
          <w:rFonts w:ascii="Arial" w:hAnsi="Arial" w:cs="Arial"/>
          <w:sz w:val="24"/>
          <w:szCs w:val="24"/>
        </w:rPr>
      </w:pPr>
    </w:p>
    <w:p w14:paraId="1DA2F16D" w14:textId="77777777" w:rsidR="003105E9" w:rsidRDefault="003105E9" w:rsidP="003105E9">
      <w:pPr>
        <w:rPr>
          <w:rFonts w:ascii="Arial" w:hAnsi="Arial" w:cs="Arial"/>
          <w:b/>
          <w:sz w:val="24"/>
          <w:szCs w:val="24"/>
        </w:rPr>
      </w:pPr>
      <w:r>
        <w:rPr>
          <w:rFonts w:ascii="Arial" w:hAnsi="Arial" w:cs="Arial"/>
          <w:b/>
          <w:sz w:val="24"/>
          <w:szCs w:val="24"/>
        </w:rPr>
        <w:t xml:space="preserve">‘Rights’ and ‘wellbeing’ should be clarified </w:t>
      </w:r>
    </w:p>
    <w:p w14:paraId="0F14B000" w14:textId="77777777" w:rsidR="003105E9" w:rsidRDefault="003105E9" w:rsidP="003105E9">
      <w:pPr>
        <w:rPr>
          <w:rFonts w:ascii="Arial" w:hAnsi="Arial" w:cs="Arial"/>
          <w:b/>
          <w:sz w:val="24"/>
          <w:szCs w:val="24"/>
        </w:rPr>
      </w:pPr>
    </w:p>
    <w:p w14:paraId="27B0BBD4" w14:textId="4AD1741A" w:rsidR="003105E9" w:rsidRDefault="00EF6BAD" w:rsidP="003105E9">
      <w:pPr>
        <w:rPr>
          <w:rFonts w:ascii="Arial" w:hAnsi="Arial" w:cs="Arial"/>
          <w:sz w:val="24"/>
          <w:szCs w:val="24"/>
        </w:rPr>
      </w:pPr>
      <w:r>
        <w:rPr>
          <w:rFonts w:ascii="Arial" w:hAnsi="Arial" w:cs="Arial"/>
          <w:sz w:val="24"/>
          <w:szCs w:val="24"/>
        </w:rPr>
        <w:lastRenderedPageBreak/>
        <w:t xml:space="preserve">An assessment of wellbeing is </w:t>
      </w:r>
      <w:r w:rsidR="00920E1E">
        <w:rPr>
          <w:rFonts w:ascii="Arial" w:hAnsi="Arial" w:cs="Arial"/>
          <w:sz w:val="24"/>
          <w:szCs w:val="24"/>
        </w:rPr>
        <w:t xml:space="preserve">set out </w:t>
      </w:r>
      <w:r>
        <w:rPr>
          <w:rFonts w:ascii="Arial" w:hAnsi="Arial" w:cs="Arial"/>
          <w:sz w:val="24"/>
          <w:szCs w:val="24"/>
        </w:rPr>
        <w:t xml:space="preserve">in </w:t>
      </w:r>
      <w:r w:rsidR="00920E1E">
        <w:rPr>
          <w:rFonts w:ascii="Arial" w:hAnsi="Arial" w:cs="Arial"/>
          <w:sz w:val="24"/>
          <w:szCs w:val="24"/>
        </w:rPr>
        <w:t>Part 18 (</w:t>
      </w:r>
      <w:r>
        <w:rPr>
          <w:rFonts w:ascii="Arial" w:hAnsi="Arial" w:cs="Arial"/>
          <w:sz w:val="24"/>
          <w:szCs w:val="24"/>
        </w:rPr>
        <w:t>section 96</w:t>
      </w:r>
      <w:r w:rsidR="00920E1E">
        <w:rPr>
          <w:rFonts w:ascii="Arial" w:hAnsi="Arial" w:cs="Arial"/>
          <w:sz w:val="24"/>
          <w:szCs w:val="24"/>
        </w:rPr>
        <w:t>)</w:t>
      </w:r>
      <w:r>
        <w:rPr>
          <w:rFonts w:ascii="Arial" w:hAnsi="Arial" w:cs="Arial"/>
          <w:sz w:val="24"/>
          <w:szCs w:val="24"/>
        </w:rPr>
        <w:t xml:space="preserve"> of the Act</w:t>
      </w:r>
      <w:r w:rsidR="00920E1E">
        <w:rPr>
          <w:rFonts w:ascii="Arial" w:hAnsi="Arial" w:cs="Arial"/>
          <w:sz w:val="24"/>
          <w:szCs w:val="24"/>
        </w:rPr>
        <w:t xml:space="preserve">, which came into force in Autumn 2016 and will be further defined in the statutory guidance, which will apply to this part of the Act. The </w:t>
      </w:r>
      <w:r>
        <w:rPr>
          <w:rFonts w:ascii="Arial" w:hAnsi="Arial" w:cs="Arial"/>
          <w:sz w:val="24"/>
          <w:szCs w:val="24"/>
        </w:rPr>
        <w:t xml:space="preserve">materials supporting the CRWIA, referenced in the guidance, </w:t>
      </w:r>
      <w:r w:rsidR="00920E1E">
        <w:rPr>
          <w:rFonts w:ascii="Arial" w:hAnsi="Arial" w:cs="Arial"/>
          <w:sz w:val="24"/>
          <w:szCs w:val="24"/>
        </w:rPr>
        <w:t xml:space="preserve">also </w:t>
      </w:r>
      <w:r>
        <w:rPr>
          <w:rFonts w:ascii="Arial" w:hAnsi="Arial" w:cs="Arial"/>
          <w:sz w:val="24"/>
          <w:szCs w:val="24"/>
        </w:rPr>
        <w:t>explore the relationship between rights and wellbeing</w:t>
      </w:r>
      <w:r w:rsidR="00920E1E">
        <w:rPr>
          <w:rFonts w:ascii="Arial" w:hAnsi="Arial" w:cs="Arial"/>
          <w:sz w:val="24"/>
          <w:szCs w:val="24"/>
        </w:rPr>
        <w:t xml:space="preserve">. The guidance will therefore not </w:t>
      </w:r>
      <w:r w:rsidR="00017067">
        <w:rPr>
          <w:rFonts w:ascii="Arial" w:hAnsi="Arial" w:cs="Arial"/>
          <w:sz w:val="24"/>
          <w:szCs w:val="24"/>
        </w:rPr>
        <w:t>expand further</w:t>
      </w:r>
      <w:r w:rsidR="00920E1E">
        <w:rPr>
          <w:rFonts w:ascii="Arial" w:hAnsi="Arial" w:cs="Arial"/>
          <w:sz w:val="24"/>
          <w:szCs w:val="24"/>
        </w:rPr>
        <w:t xml:space="preserve">. </w:t>
      </w:r>
    </w:p>
    <w:p w14:paraId="352482DC" w14:textId="77777777" w:rsidR="00613008" w:rsidRDefault="00613008" w:rsidP="003105E9">
      <w:pPr>
        <w:rPr>
          <w:rFonts w:ascii="Arial" w:hAnsi="Arial" w:cs="Arial"/>
          <w:sz w:val="24"/>
          <w:szCs w:val="24"/>
        </w:rPr>
      </w:pPr>
    </w:p>
    <w:p w14:paraId="41A06821" w14:textId="77777777" w:rsidR="003105E9" w:rsidRDefault="003105E9" w:rsidP="003105E9">
      <w:pPr>
        <w:rPr>
          <w:rFonts w:ascii="Arial" w:hAnsi="Arial" w:cs="Arial"/>
          <w:b/>
          <w:sz w:val="24"/>
          <w:szCs w:val="24"/>
          <w:u w:val="single"/>
        </w:rPr>
      </w:pPr>
      <w:r w:rsidRPr="007815C3">
        <w:rPr>
          <w:rFonts w:ascii="Arial" w:hAnsi="Arial" w:cs="Arial"/>
          <w:b/>
          <w:sz w:val="24"/>
          <w:szCs w:val="24"/>
          <w:u w:val="single"/>
        </w:rPr>
        <w:t>Part 3</w:t>
      </w:r>
    </w:p>
    <w:p w14:paraId="41C78EE2" w14:textId="77777777" w:rsidR="003105E9" w:rsidRDefault="003105E9" w:rsidP="003105E9">
      <w:pPr>
        <w:rPr>
          <w:rFonts w:ascii="Arial" w:hAnsi="Arial" w:cs="Arial"/>
          <w:b/>
          <w:sz w:val="24"/>
          <w:szCs w:val="24"/>
          <w:u w:val="single"/>
        </w:rPr>
      </w:pPr>
    </w:p>
    <w:p w14:paraId="1FC1463A" w14:textId="77777777" w:rsidR="003105E9" w:rsidRDefault="003105E9" w:rsidP="003105E9">
      <w:pPr>
        <w:rPr>
          <w:rFonts w:ascii="Arial" w:hAnsi="Arial" w:cs="Arial"/>
          <w:b/>
          <w:sz w:val="24"/>
          <w:szCs w:val="24"/>
        </w:rPr>
      </w:pPr>
      <w:r>
        <w:rPr>
          <w:rFonts w:ascii="Arial" w:hAnsi="Arial" w:cs="Arial"/>
          <w:b/>
          <w:sz w:val="24"/>
          <w:szCs w:val="24"/>
        </w:rPr>
        <w:t>Guidance needs to be up-to-date and connect with wider policy and legislation</w:t>
      </w:r>
    </w:p>
    <w:p w14:paraId="54AFD58B" w14:textId="77777777" w:rsidR="003105E9" w:rsidRDefault="003105E9" w:rsidP="003105E9">
      <w:pPr>
        <w:rPr>
          <w:rFonts w:ascii="Arial" w:hAnsi="Arial" w:cs="Arial"/>
          <w:b/>
          <w:sz w:val="24"/>
          <w:szCs w:val="24"/>
        </w:rPr>
      </w:pPr>
    </w:p>
    <w:p w14:paraId="78A0115B" w14:textId="77777777" w:rsidR="003105E9" w:rsidRDefault="003105E9" w:rsidP="003105E9">
      <w:pPr>
        <w:rPr>
          <w:rFonts w:ascii="Arial" w:hAnsi="Arial" w:cs="Arial"/>
          <w:sz w:val="24"/>
          <w:szCs w:val="24"/>
        </w:rPr>
      </w:pPr>
      <w:r>
        <w:rPr>
          <w:rFonts w:ascii="Arial" w:hAnsi="Arial" w:cs="Arial"/>
          <w:sz w:val="24"/>
          <w:szCs w:val="24"/>
        </w:rPr>
        <w:t>The appendices will be updated to reflect new legislation to date.</w:t>
      </w:r>
    </w:p>
    <w:p w14:paraId="2FC6C46C" w14:textId="77777777" w:rsidR="003105E9" w:rsidRDefault="003105E9" w:rsidP="003105E9">
      <w:pPr>
        <w:rPr>
          <w:rFonts w:ascii="Arial" w:hAnsi="Arial" w:cs="Arial"/>
          <w:b/>
          <w:sz w:val="24"/>
          <w:szCs w:val="24"/>
        </w:rPr>
      </w:pPr>
    </w:p>
    <w:p w14:paraId="776A4084" w14:textId="77777777" w:rsidR="003105E9" w:rsidRDefault="003105E9" w:rsidP="003105E9">
      <w:pPr>
        <w:rPr>
          <w:rFonts w:ascii="Arial" w:hAnsi="Arial" w:cs="Arial"/>
          <w:b/>
          <w:sz w:val="24"/>
          <w:szCs w:val="24"/>
        </w:rPr>
      </w:pPr>
      <w:r>
        <w:rPr>
          <w:rFonts w:ascii="Arial" w:hAnsi="Arial" w:cs="Arial"/>
          <w:b/>
          <w:sz w:val="24"/>
          <w:szCs w:val="24"/>
        </w:rPr>
        <w:t>There should be more references to engagement of children and young people in developing children’s services plans</w:t>
      </w:r>
    </w:p>
    <w:p w14:paraId="423A0DA0" w14:textId="77777777" w:rsidR="003105E9" w:rsidRDefault="003105E9" w:rsidP="003105E9">
      <w:pPr>
        <w:rPr>
          <w:rFonts w:ascii="Arial" w:hAnsi="Arial" w:cs="Arial"/>
          <w:b/>
          <w:sz w:val="24"/>
          <w:szCs w:val="24"/>
        </w:rPr>
      </w:pPr>
    </w:p>
    <w:p w14:paraId="48298EC3" w14:textId="77777777" w:rsidR="003105E9" w:rsidRDefault="003105E9" w:rsidP="003105E9">
      <w:pPr>
        <w:rPr>
          <w:rFonts w:ascii="Arial" w:hAnsi="Arial" w:cs="Arial"/>
          <w:sz w:val="24"/>
          <w:szCs w:val="24"/>
        </w:rPr>
      </w:pPr>
      <w:r>
        <w:rPr>
          <w:rFonts w:ascii="Arial" w:hAnsi="Arial" w:cs="Arial"/>
          <w:sz w:val="24"/>
          <w:szCs w:val="24"/>
        </w:rPr>
        <w:t xml:space="preserve">There will be increased reference and emphasis threaded through the guidance on involving children and young people (including those from disadvantaged or vulnerable groups) and their families in developing children’s services plans. </w:t>
      </w:r>
    </w:p>
    <w:p w14:paraId="7D56AE4C" w14:textId="77777777" w:rsidR="003105E9" w:rsidRDefault="003105E9" w:rsidP="003105E9">
      <w:pPr>
        <w:rPr>
          <w:rFonts w:ascii="Arial" w:hAnsi="Arial" w:cs="Arial"/>
          <w:sz w:val="24"/>
          <w:szCs w:val="24"/>
        </w:rPr>
      </w:pPr>
    </w:p>
    <w:p w14:paraId="01698330" w14:textId="77777777" w:rsidR="003105E9" w:rsidRPr="000C39BC" w:rsidRDefault="003105E9" w:rsidP="003105E9">
      <w:pPr>
        <w:shd w:val="clear" w:color="auto" w:fill="FFFFFF"/>
        <w:spacing w:after="240"/>
        <w:rPr>
          <w:rFonts w:ascii="Arial" w:hAnsi="Arial" w:cs="Arial"/>
          <w:color w:val="000000"/>
          <w:sz w:val="24"/>
          <w:szCs w:val="24"/>
        </w:rPr>
      </w:pPr>
      <w:r>
        <w:rPr>
          <w:rFonts w:ascii="Arial" w:hAnsi="Arial" w:cs="Arial"/>
          <w:sz w:val="24"/>
          <w:szCs w:val="24"/>
        </w:rPr>
        <w:t>Children and young people’s voices are a key element of</w:t>
      </w:r>
      <w:r w:rsidRPr="000C39BC">
        <w:rPr>
          <w:rFonts w:ascii="Arial" w:hAnsi="Arial" w:cs="Arial"/>
          <w:sz w:val="24"/>
          <w:szCs w:val="24"/>
        </w:rPr>
        <w:t xml:space="preserve"> the </w:t>
      </w:r>
      <w:hyperlink r:id="rId8" w:history="1">
        <w:r w:rsidRPr="000C39BC">
          <w:rPr>
            <w:rStyle w:val="Hyperlink"/>
            <w:rFonts w:ascii="Arial" w:hAnsi="Arial" w:cs="Arial"/>
            <w:sz w:val="24"/>
            <w:szCs w:val="24"/>
          </w:rPr>
          <w:t>Child Rights and Wellbeing Impact Assessment (CRWIA)</w:t>
        </w:r>
      </w:hyperlink>
      <w:r w:rsidRPr="000C39BC">
        <w:rPr>
          <w:rFonts w:ascii="Arial" w:hAnsi="Arial" w:cs="Arial"/>
          <w:color w:val="000000"/>
          <w:sz w:val="24"/>
          <w:szCs w:val="24"/>
        </w:rPr>
        <w:t>, which is a policy devel</w:t>
      </w:r>
      <w:r>
        <w:rPr>
          <w:rFonts w:ascii="Arial" w:hAnsi="Arial" w:cs="Arial"/>
          <w:color w:val="000000"/>
          <w:sz w:val="24"/>
          <w:szCs w:val="24"/>
        </w:rPr>
        <w:t>opment and improvement approach</w:t>
      </w:r>
      <w:r w:rsidRPr="000C39BC">
        <w:rPr>
          <w:rFonts w:ascii="Arial" w:hAnsi="Arial" w:cs="Arial"/>
          <w:color w:val="000000"/>
          <w:sz w:val="24"/>
          <w:szCs w:val="24"/>
        </w:rPr>
        <w:t xml:space="preserve"> used by Scottish Government officials,</w:t>
      </w:r>
      <w:r>
        <w:rPr>
          <w:rFonts w:ascii="Arial" w:hAnsi="Arial" w:cs="Arial"/>
          <w:color w:val="000000"/>
          <w:sz w:val="24"/>
          <w:szCs w:val="24"/>
        </w:rPr>
        <w:t xml:space="preserve"> but is also available for others planning, delivering and reporting on </w:t>
      </w:r>
      <w:r w:rsidRPr="000C39BC">
        <w:rPr>
          <w:rFonts w:ascii="Arial" w:hAnsi="Arial" w:cs="Arial"/>
          <w:color w:val="000000"/>
          <w:sz w:val="24"/>
          <w:szCs w:val="24"/>
        </w:rPr>
        <w:t>children’s services to adapt for their own uses, if</w:t>
      </w:r>
      <w:r>
        <w:rPr>
          <w:rFonts w:ascii="Arial" w:hAnsi="Arial" w:cs="Arial"/>
          <w:color w:val="000000"/>
          <w:sz w:val="24"/>
          <w:szCs w:val="24"/>
        </w:rPr>
        <w:t xml:space="preserve"> they wish. </w:t>
      </w:r>
    </w:p>
    <w:p w14:paraId="47DA795E" w14:textId="49EF095B" w:rsidR="003105E9" w:rsidRDefault="003105E9" w:rsidP="003105E9">
      <w:pPr>
        <w:rPr>
          <w:rFonts w:ascii="Arial" w:hAnsi="Arial" w:cs="Arial"/>
          <w:sz w:val="24"/>
          <w:szCs w:val="24"/>
          <w:lang w:eastAsia="en-GB"/>
        </w:rPr>
      </w:pPr>
      <w:r>
        <w:rPr>
          <w:rFonts w:ascii="Arial" w:hAnsi="Arial" w:cs="Arial"/>
          <w:sz w:val="24"/>
          <w:szCs w:val="24"/>
        </w:rPr>
        <w:t xml:space="preserve">In addition, a pilot exploring children and young people’s participation in the planning process will be undertaken in early Spring 2017.  </w:t>
      </w:r>
      <w:r w:rsidRPr="00192453">
        <w:rPr>
          <w:rFonts w:ascii="Arial" w:hAnsi="Arial" w:cs="Arial"/>
          <w:sz w:val="24"/>
          <w:szCs w:val="24"/>
        </w:rPr>
        <w:t xml:space="preserve">Following the same approach </w:t>
      </w:r>
      <w:r w:rsidRPr="00192453">
        <w:rPr>
          <w:rFonts w:ascii="Arial" w:hAnsi="Arial" w:cs="Arial"/>
          <w:sz w:val="24"/>
          <w:szCs w:val="24"/>
          <w:lang w:val="en"/>
        </w:rPr>
        <w:t xml:space="preserve">as Scotland's National Action Plan for Human Rights (SNAP), we </w:t>
      </w:r>
      <w:r>
        <w:rPr>
          <w:rFonts w:ascii="Arial" w:hAnsi="Arial" w:cs="Arial"/>
          <w:sz w:val="24"/>
          <w:szCs w:val="24"/>
          <w:lang w:val="en"/>
        </w:rPr>
        <w:t>will</w:t>
      </w:r>
      <w:r w:rsidRPr="00192453">
        <w:rPr>
          <w:rFonts w:ascii="Arial" w:hAnsi="Arial" w:cs="Arial"/>
          <w:sz w:val="24"/>
          <w:szCs w:val="24"/>
          <w:lang w:val="en"/>
        </w:rPr>
        <w:t xml:space="preserve"> provide participants (children, young people and planners)</w:t>
      </w:r>
      <w:r>
        <w:rPr>
          <w:rFonts w:ascii="Arial" w:hAnsi="Arial" w:cs="Arial"/>
          <w:sz w:val="24"/>
          <w:szCs w:val="24"/>
          <w:lang w:val="en"/>
        </w:rPr>
        <w:t xml:space="preserve"> with the opportunity</w:t>
      </w:r>
      <w:r w:rsidRPr="00192453">
        <w:rPr>
          <w:rFonts w:ascii="Arial" w:hAnsi="Arial" w:cs="Arial"/>
          <w:sz w:val="24"/>
          <w:szCs w:val="24"/>
          <w:lang w:val="en"/>
        </w:rPr>
        <w:t xml:space="preserve"> </w:t>
      </w:r>
      <w:r w:rsidRPr="00192453">
        <w:rPr>
          <w:rFonts w:ascii="Arial" w:hAnsi="Arial" w:cs="Arial"/>
          <w:sz w:val="24"/>
          <w:szCs w:val="24"/>
        </w:rPr>
        <w:t xml:space="preserve">to </w:t>
      </w:r>
      <w:r>
        <w:rPr>
          <w:rFonts w:ascii="Arial" w:hAnsi="Arial" w:cs="Arial"/>
          <w:sz w:val="24"/>
          <w:szCs w:val="24"/>
        </w:rPr>
        <w:t>share</w:t>
      </w:r>
      <w:r w:rsidRPr="00192453">
        <w:rPr>
          <w:rFonts w:ascii="Arial" w:hAnsi="Arial" w:cs="Arial"/>
          <w:sz w:val="24"/>
          <w:szCs w:val="24"/>
        </w:rPr>
        <w:t xml:space="preserve"> their views on how children and young people should be involved in the pl</w:t>
      </w:r>
      <w:r>
        <w:rPr>
          <w:rFonts w:ascii="Arial" w:hAnsi="Arial" w:cs="Arial"/>
          <w:sz w:val="24"/>
          <w:szCs w:val="24"/>
        </w:rPr>
        <w:t xml:space="preserve">anning process at local level.  </w:t>
      </w:r>
      <w:r w:rsidRPr="00192453">
        <w:rPr>
          <w:rFonts w:ascii="Arial" w:hAnsi="Arial" w:cs="Arial"/>
          <w:sz w:val="24"/>
          <w:szCs w:val="24"/>
        </w:rPr>
        <w:t>The aim is to develop a</w:t>
      </w:r>
      <w:r>
        <w:rPr>
          <w:rFonts w:ascii="Arial" w:hAnsi="Arial" w:cs="Arial"/>
          <w:sz w:val="24"/>
          <w:szCs w:val="24"/>
        </w:rPr>
        <w:t>n agreed</w:t>
      </w:r>
      <w:r w:rsidRPr="00192453">
        <w:rPr>
          <w:rFonts w:ascii="Arial" w:hAnsi="Arial" w:cs="Arial"/>
          <w:sz w:val="24"/>
          <w:szCs w:val="24"/>
        </w:rPr>
        <w:t xml:space="preserve"> methodology for engagement</w:t>
      </w:r>
      <w:r>
        <w:rPr>
          <w:rFonts w:ascii="Arial" w:hAnsi="Arial" w:cs="Arial"/>
          <w:sz w:val="24"/>
          <w:szCs w:val="24"/>
        </w:rPr>
        <w:t xml:space="preserve">, </w:t>
      </w:r>
      <w:r w:rsidRPr="00192453">
        <w:rPr>
          <w:rFonts w:ascii="Arial" w:hAnsi="Arial" w:cs="Arial"/>
          <w:sz w:val="24"/>
          <w:szCs w:val="24"/>
        </w:rPr>
        <w:t>jointly owned by children, young people and planners</w:t>
      </w:r>
      <w:r>
        <w:rPr>
          <w:rFonts w:ascii="Arial" w:hAnsi="Arial" w:cs="Arial"/>
          <w:sz w:val="24"/>
          <w:szCs w:val="24"/>
        </w:rPr>
        <w:t xml:space="preserve">.  We plan to disseminate the product as a </w:t>
      </w:r>
      <w:r w:rsidRPr="00192453">
        <w:rPr>
          <w:rFonts w:ascii="Arial" w:hAnsi="Arial" w:cs="Arial"/>
          <w:sz w:val="24"/>
          <w:szCs w:val="24"/>
        </w:rPr>
        <w:t xml:space="preserve">model of good practice with </w:t>
      </w:r>
      <w:r>
        <w:rPr>
          <w:rFonts w:ascii="Arial" w:hAnsi="Arial" w:cs="Arial"/>
          <w:sz w:val="24"/>
          <w:szCs w:val="24"/>
        </w:rPr>
        <w:t>local</w:t>
      </w:r>
      <w:r w:rsidR="00BF61BD">
        <w:rPr>
          <w:rFonts w:ascii="Arial" w:hAnsi="Arial" w:cs="Arial"/>
          <w:sz w:val="24"/>
          <w:szCs w:val="24"/>
        </w:rPr>
        <w:t xml:space="preserve"> authorities, health boards and community planning p</w:t>
      </w:r>
      <w:r w:rsidRPr="00192453">
        <w:rPr>
          <w:rFonts w:ascii="Arial" w:hAnsi="Arial" w:cs="Arial"/>
          <w:sz w:val="24"/>
          <w:szCs w:val="24"/>
        </w:rPr>
        <w:t>artnership areas</w:t>
      </w:r>
      <w:r>
        <w:rPr>
          <w:rFonts w:ascii="Arial" w:hAnsi="Arial" w:cs="Arial"/>
          <w:sz w:val="24"/>
          <w:szCs w:val="24"/>
        </w:rPr>
        <w:t>, supplementing the Part 3 guidance</w:t>
      </w:r>
      <w:r w:rsidRPr="00192453">
        <w:rPr>
          <w:rFonts w:ascii="Arial" w:hAnsi="Arial" w:cs="Arial"/>
          <w:sz w:val="24"/>
          <w:szCs w:val="24"/>
        </w:rPr>
        <w:t>.</w:t>
      </w:r>
    </w:p>
    <w:p w14:paraId="236ED614" w14:textId="77777777" w:rsidR="003105E9" w:rsidRPr="00351E12" w:rsidRDefault="003105E9" w:rsidP="003105E9">
      <w:pPr>
        <w:rPr>
          <w:rFonts w:ascii="Arial" w:hAnsi="Arial" w:cs="Arial"/>
          <w:sz w:val="24"/>
          <w:szCs w:val="24"/>
        </w:rPr>
      </w:pPr>
    </w:p>
    <w:p w14:paraId="6E1794C8" w14:textId="77777777" w:rsidR="003105E9" w:rsidRDefault="003105E9" w:rsidP="003105E9">
      <w:pPr>
        <w:rPr>
          <w:rFonts w:ascii="Arial" w:hAnsi="Arial" w:cs="Arial"/>
          <w:b/>
          <w:sz w:val="24"/>
          <w:szCs w:val="24"/>
        </w:rPr>
      </w:pPr>
      <w:r>
        <w:rPr>
          <w:rFonts w:ascii="Arial" w:hAnsi="Arial" w:cs="Arial"/>
          <w:b/>
          <w:sz w:val="24"/>
          <w:szCs w:val="24"/>
        </w:rPr>
        <w:t>The role of third sector organisations in developing children’s services plans should be expanded</w:t>
      </w:r>
    </w:p>
    <w:p w14:paraId="19B39C7E" w14:textId="77777777" w:rsidR="003105E9" w:rsidRDefault="003105E9" w:rsidP="003105E9">
      <w:pPr>
        <w:rPr>
          <w:rFonts w:ascii="Arial" w:hAnsi="Arial" w:cs="Arial"/>
          <w:b/>
          <w:sz w:val="24"/>
          <w:szCs w:val="24"/>
        </w:rPr>
      </w:pPr>
    </w:p>
    <w:p w14:paraId="1A874D8A" w14:textId="77777777" w:rsidR="003105E9" w:rsidRDefault="003105E9" w:rsidP="003105E9">
      <w:pPr>
        <w:rPr>
          <w:rFonts w:ascii="Arial" w:hAnsi="Arial" w:cs="Arial"/>
          <w:sz w:val="24"/>
          <w:szCs w:val="24"/>
        </w:rPr>
      </w:pPr>
      <w:r>
        <w:rPr>
          <w:rFonts w:ascii="Arial" w:hAnsi="Arial" w:cs="Arial"/>
          <w:sz w:val="24"/>
          <w:szCs w:val="24"/>
        </w:rPr>
        <w:t xml:space="preserve">The guidance will not expand on the specific role of third sector organisations because the consultation responses related mainly to the legislation rather than the guidance. </w:t>
      </w:r>
    </w:p>
    <w:p w14:paraId="53B670B6" w14:textId="77777777" w:rsidR="003105E9" w:rsidRDefault="003105E9" w:rsidP="003105E9">
      <w:pPr>
        <w:rPr>
          <w:rFonts w:ascii="Arial" w:hAnsi="Arial" w:cs="Arial"/>
          <w:sz w:val="24"/>
          <w:szCs w:val="24"/>
        </w:rPr>
      </w:pPr>
    </w:p>
    <w:p w14:paraId="190EDE32" w14:textId="77777777" w:rsidR="003105E9" w:rsidRDefault="003105E9" w:rsidP="003105E9">
      <w:pPr>
        <w:rPr>
          <w:rFonts w:ascii="Arial" w:hAnsi="Arial" w:cs="Arial"/>
          <w:sz w:val="24"/>
          <w:szCs w:val="24"/>
          <w:lang w:eastAsia="en-GB"/>
        </w:rPr>
      </w:pPr>
      <w:r>
        <w:rPr>
          <w:rFonts w:ascii="Arial" w:hAnsi="Arial" w:cs="Arial"/>
          <w:sz w:val="24"/>
          <w:szCs w:val="24"/>
        </w:rPr>
        <w:t xml:space="preserve">However, the pilot on Part 3 (described above) will engage with third sector organisations, in their role as planners, allowing them to contribute to developing a methodology </w:t>
      </w:r>
      <w:r w:rsidRPr="00192453">
        <w:rPr>
          <w:rFonts w:ascii="Arial" w:hAnsi="Arial" w:cs="Arial"/>
          <w:sz w:val="24"/>
          <w:szCs w:val="24"/>
        </w:rPr>
        <w:t>for engagement</w:t>
      </w:r>
      <w:r>
        <w:rPr>
          <w:rFonts w:ascii="Arial" w:hAnsi="Arial" w:cs="Arial"/>
          <w:sz w:val="24"/>
          <w:szCs w:val="24"/>
        </w:rPr>
        <w:t xml:space="preserve">, </w:t>
      </w:r>
      <w:r w:rsidRPr="00192453">
        <w:rPr>
          <w:rFonts w:ascii="Arial" w:hAnsi="Arial" w:cs="Arial"/>
          <w:sz w:val="24"/>
          <w:szCs w:val="24"/>
        </w:rPr>
        <w:t>jointly owned by children, young people and planners</w:t>
      </w:r>
      <w:r>
        <w:rPr>
          <w:rFonts w:ascii="Arial" w:hAnsi="Arial" w:cs="Arial"/>
          <w:sz w:val="24"/>
          <w:szCs w:val="24"/>
        </w:rPr>
        <w:t xml:space="preserve">. </w:t>
      </w:r>
    </w:p>
    <w:p w14:paraId="6A6EE31A" w14:textId="77777777" w:rsidR="003105E9" w:rsidRDefault="003105E9" w:rsidP="003105E9">
      <w:pPr>
        <w:shd w:val="clear" w:color="auto" w:fill="FFFFFF" w:themeFill="background1"/>
        <w:rPr>
          <w:rFonts w:ascii="Arial" w:hAnsi="Arial" w:cs="Arial"/>
          <w:sz w:val="24"/>
          <w:szCs w:val="24"/>
        </w:rPr>
      </w:pPr>
    </w:p>
    <w:p w14:paraId="3B0B4C77" w14:textId="77777777" w:rsidR="003105E9" w:rsidRPr="00607BC8" w:rsidRDefault="003105E9" w:rsidP="003105E9">
      <w:pPr>
        <w:shd w:val="clear" w:color="auto" w:fill="FFFFFF" w:themeFill="background1"/>
        <w:rPr>
          <w:rFonts w:ascii="Arial" w:hAnsi="Arial" w:cs="Arial"/>
          <w:b/>
          <w:sz w:val="24"/>
          <w:szCs w:val="24"/>
        </w:rPr>
      </w:pPr>
      <w:r>
        <w:rPr>
          <w:rFonts w:ascii="Arial" w:hAnsi="Arial" w:cs="Arial"/>
          <w:b/>
          <w:sz w:val="24"/>
          <w:szCs w:val="24"/>
        </w:rPr>
        <w:t>Further links</w:t>
      </w:r>
      <w:r w:rsidRPr="00607BC8">
        <w:rPr>
          <w:rFonts w:ascii="Arial" w:hAnsi="Arial" w:cs="Arial"/>
          <w:b/>
          <w:sz w:val="24"/>
          <w:szCs w:val="24"/>
        </w:rPr>
        <w:t xml:space="preserve"> between Part 3 and the </w:t>
      </w:r>
      <w:r>
        <w:rPr>
          <w:rFonts w:ascii="Arial" w:hAnsi="Arial" w:cs="Arial"/>
          <w:b/>
          <w:sz w:val="24"/>
          <w:szCs w:val="24"/>
        </w:rPr>
        <w:t xml:space="preserve">duties in Part 1 (section 2), relating to the </w:t>
      </w:r>
      <w:r w:rsidRPr="00607BC8">
        <w:rPr>
          <w:rFonts w:ascii="Arial" w:hAnsi="Arial" w:cs="Arial"/>
          <w:b/>
          <w:sz w:val="24"/>
          <w:szCs w:val="24"/>
        </w:rPr>
        <w:t xml:space="preserve">UNCRC </w:t>
      </w:r>
      <w:r>
        <w:rPr>
          <w:rFonts w:ascii="Arial" w:hAnsi="Arial" w:cs="Arial"/>
          <w:b/>
          <w:sz w:val="24"/>
          <w:szCs w:val="24"/>
        </w:rPr>
        <w:t>should be made</w:t>
      </w:r>
    </w:p>
    <w:p w14:paraId="3B8139E9" w14:textId="77777777" w:rsidR="003105E9" w:rsidRDefault="003105E9" w:rsidP="003105E9">
      <w:pPr>
        <w:shd w:val="clear" w:color="auto" w:fill="FFFFFF" w:themeFill="background1"/>
        <w:rPr>
          <w:rFonts w:ascii="Arial" w:hAnsi="Arial" w:cs="Arial"/>
          <w:b/>
          <w:sz w:val="24"/>
          <w:szCs w:val="24"/>
        </w:rPr>
      </w:pPr>
    </w:p>
    <w:p w14:paraId="679780D3" w14:textId="77777777" w:rsidR="003105E9" w:rsidRPr="006A5281" w:rsidRDefault="003105E9" w:rsidP="003105E9">
      <w:pPr>
        <w:rPr>
          <w:rFonts w:ascii="Arial" w:hAnsi="Arial" w:cs="Arial"/>
          <w:sz w:val="24"/>
          <w:szCs w:val="24"/>
        </w:rPr>
      </w:pPr>
      <w:r w:rsidRPr="006A5281">
        <w:rPr>
          <w:rFonts w:ascii="Arial" w:hAnsi="Arial" w:cs="Arial"/>
          <w:sz w:val="24"/>
          <w:szCs w:val="24"/>
        </w:rPr>
        <w:lastRenderedPageBreak/>
        <w:t xml:space="preserve">As the legislation makes no connection between Part 1 </w:t>
      </w:r>
      <w:r>
        <w:rPr>
          <w:rFonts w:ascii="Arial" w:hAnsi="Arial" w:cs="Arial"/>
          <w:sz w:val="24"/>
          <w:szCs w:val="24"/>
        </w:rPr>
        <w:t xml:space="preserve">(section 2) </w:t>
      </w:r>
      <w:r w:rsidRPr="006A5281">
        <w:rPr>
          <w:rFonts w:ascii="Arial" w:hAnsi="Arial" w:cs="Arial"/>
          <w:sz w:val="24"/>
          <w:szCs w:val="24"/>
        </w:rPr>
        <w:t xml:space="preserve">and </w:t>
      </w:r>
      <w:r>
        <w:rPr>
          <w:rFonts w:ascii="Arial" w:hAnsi="Arial" w:cs="Arial"/>
          <w:sz w:val="24"/>
          <w:szCs w:val="24"/>
        </w:rPr>
        <w:t xml:space="preserve">Part </w:t>
      </w:r>
      <w:r w:rsidRPr="006A5281">
        <w:rPr>
          <w:rFonts w:ascii="Arial" w:hAnsi="Arial" w:cs="Arial"/>
          <w:sz w:val="24"/>
          <w:szCs w:val="24"/>
        </w:rPr>
        <w:t xml:space="preserve">3 of the Act, we are unable to make </w:t>
      </w:r>
      <w:r>
        <w:rPr>
          <w:rFonts w:ascii="Arial" w:hAnsi="Arial" w:cs="Arial"/>
          <w:sz w:val="24"/>
          <w:szCs w:val="24"/>
        </w:rPr>
        <w:t xml:space="preserve">the suggested </w:t>
      </w:r>
      <w:r w:rsidRPr="006A5281">
        <w:rPr>
          <w:rFonts w:ascii="Arial" w:hAnsi="Arial" w:cs="Arial"/>
          <w:sz w:val="24"/>
          <w:szCs w:val="24"/>
        </w:rPr>
        <w:t>further links</w:t>
      </w:r>
      <w:r>
        <w:rPr>
          <w:rFonts w:ascii="Arial" w:hAnsi="Arial" w:cs="Arial"/>
          <w:sz w:val="24"/>
          <w:szCs w:val="24"/>
        </w:rPr>
        <w:t xml:space="preserve"> in the guidance.</w:t>
      </w:r>
      <w:r w:rsidRPr="006A5281">
        <w:rPr>
          <w:rFonts w:ascii="Arial" w:hAnsi="Arial" w:cs="Arial"/>
          <w:sz w:val="24"/>
          <w:szCs w:val="24"/>
        </w:rPr>
        <w:t xml:space="preserve"> </w:t>
      </w:r>
    </w:p>
    <w:p w14:paraId="3A360F0C" w14:textId="77777777" w:rsidR="003105E9" w:rsidRDefault="003105E9" w:rsidP="003105E9">
      <w:pPr>
        <w:shd w:val="clear" w:color="auto" w:fill="FFFFFF" w:themeFill="background1"/>
        <w:rPr>
          <w:rFonts w:ascii="Arial" w:hAnsi="Arial" w:cs="Arial"/>
          <w:b/>
          <w:sz w:val="24"/>
          <w:szCs w:val="24"/>
        </w:rPr>
      </w:pPr>
    </w:p>
    <w:p w14:paraId="46EC0485" w14:textId="77777777" w:rsidR="003105E9" w:rsidRDefault="003105E9" w:rsidP="003105E9">
      <w:pPr>
        <w:shd w:val="clear" w:color="auto" w:fill="FFFFFF" w:themeFill="background1"/>
        <w:rPr>
          <w:rFonts w:ascii="Arial" w:hAnsi="Arial" w:cs="Arial"/>
          <w:b/>
          <w:sz w:val="24"/>
          <w:szCs w:val="24"/>
        </w:rPr>
      </w:pPr>
      <w:r>
        <w:rPr>
          <w:rFonts w:ascii="Arial" w:hAnsi="Arial" w:cs="Arial"/>
          <w:b/>
          <w:sz w:val="24"/>
          <w:szCs w:val="24"/>
        </w:rPr>
        <w:t>The Scottish Government role towards children’s services plans should be explained</w:t>
      </w:r>
    </w:p>
    <w:p w14:paraId="67762EE4" w14:textId="77777777" w:rsidR="003105E9" w:rsidRDefault="003105E9" w:rsidP="003105E9">
      <w:pPr>
        <w:shd w:val="clear" w:color="auto" w:fill="FFFFFF" w:themeFill="background1"/>
        <w:rPr>
          <w:rFonts w:ascii="Arial" w:hAnsi="Arial" w:cs="Arial"/>
          <w:b/>
          <w:sz w:val="24"/>
          <w:szCs w:val="24"/>
        </w:rPr>
      </w:pPr>
    </w:p>
    <w:p w14:paraId="3BF1D318" w14:textId="77777777" w:rsidR="003105E9" w:rsidRPr="00EB6223" w:rsidRDefault="003105E9" w:rsidP="003105E9">
      <w:pPr>
        <w:shd w:val="clear" w:color="auto" w:fill="FFFFFF" w:themeFill="background1"/>
        <w:rPr>
          <w:rFonts w:ascii="Arial" w:hAnsi="Arial" w:cs="Arial"/>
          <w:sz w:val="24"/>
          <w:szCs w:val="24"/>
        </w:rPr>
      </w:pPr>
      <w:r>
        <w:rPr>
          <w:rFonts w:ascii="Arial" w:hAnsi="Arial" w:cs="Arial"/>
          <w:sz w:val="24"/>
          <w:szCs w:val="24"/>
        </w:rPr>
        <w:t xml:space="preserve">We will consider our role with respect to children’s services plans in due course, taking account of the views of relevant stakeholders. </w:t>
      </w:r>
    </w:p>
    <w:p w14:paraId="473C19A2" w14:textId="77777777" w:rsidR="003105E9" w:rsidRPr="00EB6223" w:rsidRDefault="003105E9" w:rsidP="003105E9">
      <w:pPr>
        <w:shd w:val="clear" w:color="auto" w:fill="FFFFFF" w:themeFill="background1"/>
        <w:rPr>
          <w:rFonts w:ascii="Arial" w:hAnsi="Arial" w:cs="Arial"/>
          <w:sz w:val="24"/>
          <w:szCs w:val="24"/>
        </w:rPr>
      </w:pPr>
    </w:p>
    <w:p w14:paraId="3870A842" w14:textId="77777777" w:rsidR="00EB6223" w:rsidRPr="00EB6223" w:rsidRDefault="00EB6223" w:rsidP="00C81970">
      <w:pPr>
        <w:shd w:val="clear" w:color="auto" w:fill="FFFFFF" w:themeFill="background1"/>
        <w:rPr>
          <w:rFonts w:ascii="Arial" w:hAnsi="Arial" w:cs="Arial"/>
          <w:sz w:val="24"/>
          <w:szCs w:val="24"/>
        </w:rPr>
      </w:pPr>
    </w:p>
    <w:sectPr w:rsidR="00EB6223" w:rsidRPr="00EB622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D8C511" w15:done="0"/>
  <w15:commentEx w15:paraId="0F0D0D59" w15:paraIdParent="58D8C511" w15:done="0"/>
  <w15:commentEx w15:paraId="02C5BF97" w15:done="0"/>
  <w15:commentEx w15:paraId="7753B66E" w15:done="0"/>
  <w15:commentEx w15:paraId="618A8B1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C0749"/>
    <w:multiLevelType w:val="hybridMultilevel"/>
    <w:tmpl w:val="44A4DD54"/>
    <w:lvl w:ilvl="0" w:tplc="7E6EC642">
      <w:start w:val="15"/>
      <w:numFmt w:val="decimal"/>
      <w:lvlText w:val="%1."/>
      <w:lvlJc w:val="left"/>
      <w:pPr>
        <w:ind w:left="686" w:hanging="567"/>
        <w:jc w:val="right"/>
      </w:pPr>
      <w:rPr>
        <w:rFonts w:ascii="Arial" w:eastAsia="Arial" w:hAnsi="Arial" w:cs="Arial" w:hint="default"/>
        <w:w w:val="99"/>
      </w:rPr>
    </w:lvl>
    <w:lvl w:ilvl="1" w:tplc="605E707E">
      <w:start w:val="1"/>
      <w:numFmt w:val="bullet"/>
      <w:lvlText w:val=""/>
      <w:lvlJc w:val="left"/>
      <w:pPr>
        <w:ind w:left="1233" w:hanging="281"/>
      </w:pPr>
      <w:rPr>
        <w:rFonts w:ascii="Symbol" w:eastAsia="Symbol" w:hAnsi="Symbol" w:cs="Symbol" w:hint="default"/>
        <w:w w:val="46"/>
        <w:sz w:val="24"/>
        <w:szCs w:val="24"/>
      </w:rPr>
    </w:lvl>
    <w:lvl w:ilvl="2" w:tplc="130644BC">
      <w:start w:val="1"/>
      <w:numFmt w:val="bullet"/>
      <w:lvlText w:val="•"/>
      <w:lvlJc w:val="left"/>
      <w:pPr>
        <w:ind w:left="1240" w:hanging="281"/>
      </w:pPr>
      <w:rPr>
        <w:rFonts w:hint="default"/>
      </w:rPr>
    </w:lvl>
    <w:lvl w:ilvl="3" w:tplc="5CB4DFF4">
      <w:start w:val="1"/>
      <w:numFmt w:val="bullet"/>
      <w:lvlText w:val="•"/>
      <w:lvlJc w:val="left"/>
      <w:pPr>
        <w:ind w:left="1380" w:hanging="281"/>
      </w:pPr>
      <w:rPr>
        <w:rFonts w:hint="default"/>
      </w:rPr>
    </w:lvl>
    <w:lvl w:ilvl="4" w:tplc="4D60CBDE">
      <w:start w:val="1"/>
      <w:numFmt w:val="bullet"/>
      <w:lvlText w:val="•"/>
      <w:lvlJc w:val="left"/>
      <w:pPr>
        <w:ind w:left="1480" w:hanging="281"/>
      </w:pPr>
      <w:rPr>
        <w:rFonts w:hint="default"/>
      </w:rPr>
    </w:lvl>
    <w:lvl w:ilvl="5" w:tplc="B7A276F8">
      <w:start w:val="1"/>
      <w:numFmt w:val="bullet"/>
      <w:lvlText w:val="•"/>
      <w:lvlJc w:val="left"/>
      <w:pPr>
        <w:ind w:left="1500" w:hanging="281"/>
      </w:pPr>
      <w:rPr>
        <w:rFonts w:hint="default"/>
      </w:rPr>
    </w:lvl>
    <w:lvl w:ilvl="6" w:tplc="849E27CE">
      <w:start w:val="1"/>
      <w:numFmt w:val="bullet"/>
      <w:lvlText w:val="•"/>
      <w:lvlJc w:val="left"/>
      <w:pPr>
        <w:ind w:left="1520" w:hanging="281"/>
      </w:pPr>
      <w:rPr>
        <w:rFonts w:hint="default"/>
      </w:rPr>
    </w:lvl>
    <w:lvl w:ilvl="7" w:tplc="6ADC0796">
      <w:start w:val="1"/>
      <w:numFmt w:val="bullet"/>
      <w:lvlText w:val="•"/>
      <w:lvlJc w:val="left"/>
      <w:pPr>
        <w:ind w:left="1540" w:hanging="281"/>
      </w:pPr>
      <w:rPr>
        <w:rFonts w:hint="default"/>
      </w:rPr>
    </w:lvl>
    <w:lvl w:ilvl="8" w:tplc="6D70FA70">
      <w:start w:val="1"/>
      <w:numFmt w:val="bullet"/>
      <w:lvlText w:val="•"/>
      <w:lvlJc w:val="left"/>
      <w:pPr>
        <w:ind w:left="1560" w:hanging="281"/>
      </w:pPr>
      <w:rPr>
        <w:rFonts w:hint="default"/>
      </w:rPr>
    </w:lvl>
  </w:abstractNum>
  <w:abstractNum w:abstractNumId="1">
    <w:nsid w:val="31BD6813"/>
    <w:multiLevelType w:val="multilevel"/>
    <w:tmpl w:val="BD38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890C3D"/>
    <w:multiLevelType w:val="hybridMultilevel"/>
    <w:tmpl w:val="A4B08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8302BE8"/>
    <w:multiLevelType w:val="hybridMultilevel"/>
    <w:tmpl w:val="44A4DD54"/>
    <w:lvl w:ilvl="0" w:tplc="7E6EC642">
      <w:start w:val="15"/>
      <w:numFmt w:val="decimal"/>
      <w:lvlText w:val="%1."/>
      <w:lvlJc w:val="left"/>
      <w:pPr>
        <w:ind w:left="686" w:hanging="567"/>
        <w:jc w:val="right"/>
      </w:pPr>
      <w:rPr>
        <w:rFonts w:ascii="Arial" w:eastAsia="Arial" w:hAnsi="Arial" w:cs="Arial" w:hint="default"/>
        <w:w w:val="99"/>
      </w:rPr>
    </w:lvl>
    <w:lvl w:ilvl="1" w:tplc="605E707E">
      <w:start w:val="1"/>
      <w:numFmt w:val="bullet"/>
      <w:lvlText w:val=""/>
      <w:lvlJc w:val="left"/>
      <w:pPr>
        <w:ind w:left="1233" w:hanging="281"/>
      </w:pPr>
      <w:rPr>
        <w:rFonts w:ascii="Symbol" w:eastAsia="Symbol" w:hAnsi="Symbol" w:cs="Symbol" w:hint="default"/>
        <w:w w:val="46"/>
        <w:sz w:val="24"/>
        <w:szCs w:val="24"/>
      </w:rPr>
    </w:lvl>
    <w:lvl w:ilvl="2" w:tplc="130644BC">
      <w:start w:val="1"/>
      <w:numFmt w:val="bullet"/>
      <w:lvlText w:val="•"/>
      <w:lvlJc w:val="left"/>
      <w:pPr>
        <w:ind w:left="1240" w:hanging="281"/>
      </w:pPr>
      <w:rPr>
        <w:rFonts w:hint="default"/>
      </w:rPr>
    </w:lvl>
    <w:lvl w:ilvl="3" w:tplc="5CB4DFF4">
      <w:start w:val="1"/>
      <w:numFmt w:val="bullet"/>
      <w:lvlText w:val="•"/>
      <w:lvlJc w:val="left"/>
      <w:pPr>
        <w:ind w:left="1380" w:hanging="281"/>
      </w:pPr>
      <w:rPr>
        <w:rFonts w:hint="default"/>
      </w:rPr>
    </w:lvl>
    <w:lvl w:ilvl="4" w:tplc="4D60CBDE">
      <w:start w:val="1"/>
      <w:numFmt w:val="bullet"/>
      <w:lvlText w:val="•"/>
      <w:lvlJc w:val="left"/>
      <w:pPr>
        <w:ind w:left="1480" w:hanging="281"/>
      </w:pPr>
      <w:rPr>
        <w:rFonts w:hint="default"/>
      </w:rPr>
    </w:lvl>
    <w:lvl w:ilvl="5" w:tplc="B7A276F8">
      <w:start w:val="1"/>
      <w:numFmt w:val="bullet"/>
      <w:lvlText w:val="•"/>
      <w:lvlJc w:val="left"/>
      <w:pPr>
        <w:ind w:left="1500" w:hanging="281"/>
      </w:pPr>
      <w:rPr>
        <w:rFonts w:hint="default"/>
      </w:rPr>
    </w:lvl>
    <w:lvl w:ilvl="6" w:tplc="849E27CE">
      <w:start w:val="1"/>
      <w:numFmt w:val="bullet"/>
      <w:lvlText w:val="•"/>
      <w:lvlJc w:val="left"/>
      <w:pPr>
        <w:ind w:left="1520" w:hanging="281"/>
      </w:pPr>
      <w:rPr>
        <w:rFonts w:hint="default"/>
      </w:rPr>
    </w:lvl>
    <w:lvl w:ilvl="7" w:tplc="6ADC0796">
      <w:start w:val="1"/>
      <w:numFmt w:val="bullet"/>
      <w:lvlText w:val="•"/>
      <w:lvlJc w:val="left"/>
      <w:pPr>
        <w:ind w:left="1540" w:hanging="281"/>
      </w:pPr>
      <w:rPr>
        <w:rFonts w:hint="default"/>
      </w:rPr>
    </w:lvl>
    <w:lvl w:ilvl="8" w:tplc="6D70FA70">
      <w:start w:val="1"/>
      <w:numFmt w:val="bullet"/>
      <w:lvlText w:val="•"/>
      <w:lvlJc w:val="left"/>
      <w:pPr>
        <w:ind w:left="1560" w:hanging="281"/>
      </w:pPr>
      <w:rPr>
        <w:rFonts w:hint="default"/>
      </w:rPr>
    </w:lvl>
  </w:abstractNum>
  <w:num w:numId="1">
    <w:abstractNumId w:val="2"/>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 Farrugia">
    <w15:presenceInfo w15:providerId="None" w15:userId="Ben Farrug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3F"/>
    <w:rsid w:val="00015884"/>
    <w:rsid w:val="00017067"/>
    <w:rsid w:val="0004542E"/>
    <w:rsid w:val="00054A3C"/>
    <w:rsid w:val="00061E1D"/>
    <w:rsid w:val="00064C9A"/>
    <w:rsid w:val="00067A43"/>
    <w:rsid w:val="00070342"/>
    <w:rsid w:val="00076C29"/>
    <w:rsid w:val="000A68B2"/>
    <w:rsid w:val="000C39BC"/>
    <w:rsid w:val="00142711"/>
    <w:rsid w:val="00173567"/>
    <w:rsid w:val="0017374F"/>
    <w:rsid w:val="001860A0"/>
    <w:rsid w:val="001A2DD0"/>
    <w:rsid w:val="001C5C6D"/>
    <w:rsid w:val="001E0F1D"/>
    <w:rsid w:val="001E7E70"/>
    <w:rsid w:val="00213FF3"/>
    <w:rsid w:val="00225948"/>
    <w:rsid w:val="00240ED6"/>
    <w:rsid w:val="002A1540"/>
    <w:rsid w:val="002B3652"/>
    <w:rsid w:val="002B4EA9"/>
    <w:rsid w:val="002D19AC"/>
    <w:rsid w:val="002D393A"/>
    <w:rsid w:val="002E4638"/>
    <w:rsid w:val="002F1675"/>
    <w:rsid w:val="002F3B3D"/>
    <w:rsid w:val="0030023A"/>
    <w:rsid w:val="00304A9E"/>
    <w:rsid w:val="003105E9"/>
    <w:rsid w:val="00312359"/>
    <w:rsid w:val="003452EC"/>
    <w:rsid w:val="00351E12"/>
    <w:rsid w:val="00356292"/>
    <w:rsid w:val="00366B07"/>
    <w:rsid w:val="003976C7"/>
    <w:rsid w:val="003A4BB5"/>
    <w:rsid w:val="003B1D04"/>
    <w:rsid w:val="003F4C47"/>
    <w:rsid w:val="004059B2"/>
    <w:rsid w:val="0043144D"/>
    <w:rsid w:val="00446FAB"/>
    <w:rsid w:val="0046190E"/>
    <w:rsid w:val="00480D4B"/>
    <w:rsid w:val="00496481"/>
    <w:rsid w:val="004A678F"/>
    <w:rsid w:val="004C50A2"/>
    <w:rsid w:val="004D6E04"/>
    <w:rsid w:val="00501B78"/>
    <w:rsid w:val="00507D7F"/>
    <w:rsid w:val="00532348"/>
    <w:rsid w:val="00597922"/>
    <w:rsid w:val="005A129E"/>
    <w:rsid w:val="005B6C63"/>
    <w:rsid w:val="005F2021"/>
    <w:rsid w:val="005F54B8"/>
    <w:rsid w:val="00607BC8"/>
    <w:rsid w:val="00613008"/>
    <w:rsid w:val="00615857"/>
    <w:rsid w:val="00643AA0"/>
    <w:rsid w:val="0066210B"/>
    <w:rsid w:val="00664A18"/>
    <w:rsid w:val="006A5281"/>
    <w:rsid w:val="00710E64"/>
    <w:rsid w:val="00731F65"/>
    <w:rsid w:val="00740EB6"/>
    <w:rsid w:val="00742056"/>
    <w:rsid w:val="007434D9"/>
    <w:rsid w:val="007561D3"/>
    <w:rsid w:val="00771A72"/>
    <w:rsid w:val="007815C3"/>
    <w:rsid w:val="00785F4C"/>
    <w:rsid w:val="007F01B0"/>
    <w:rsid w:val="007F3972"/>
    <w:rsid w:val="008412E9"/>
    <w:rsid w:val="00852DA8"/>
    <w:rsid w:val="00861037"/>
    <w:rsid w:val="00871454"/>
    <w:rsid w:val="00883178"/>
    <w:rsid w:val="008B1232"/>
    <w:rsid w:val="009044B5"/>
    <w:rsid w:val="00920E1E"/>
    <w:rsid w:val="009430DD"/>
    <w:rsid w:val="009453CE"/>
    <w:rsid w:val="009561C7"/>
    <w:rsid w:val="00987115"/>
    <w:rsid w:val="00993BF9"/>
    <w:rsid w:val="00997AB5"/>
    <w:rsid w:val="009D4E5D"/>
    <w:rsid w:val="009E7488"/>
    <w:rsid w:val="009F3A23"/>
    <w:rsid w:val="009F6366"/>
    <w:rsid w:val="00A13229"/>
    <w:rsid w:val="00A32802"/>
    <w:rsid w:val="00A34E09"/>
    <w:rsid w:val="00A5173F"/>
    <w:rsid w:val="00A51B77"/>
    <w:rsid w:val="00A6165B"/>
    <w:rsid w:val="00A71498"/>
    <w:rsid w:val="00A718F8"/>
    <w:rsid w:val="00A83D5B"/>
    <w:rsid w:val="00AD1D58"/>
    <w:rsid w:val="00AE4339"/>
    <w:rsid w:val="00AF6F86"/>
    <w:rsid w:val="00B016F4"/>
    <w:rsid w:val="00B67092"/>
    <w:rsid w:val="00B84036"/>
    <w:rsid w:val="00BA09C6"/>
    <w:rsid w:val="00BF61BD"/>
    <w:rsid w:val="00C16CA8"/>
    <w:rsid w:val="00C460CA"/>
    <w:rsid w:val="00C52303"/>
    <w:rsid w:val="00C81970"/>
    <w:rsid w:val="00C94609"/>
    <w:rsid w:val="00CB4780"/>
    <w:rsid w:val="00CD6BA2"/>
    <w:rsid w:val="00D0076E"/>
    <w:rsid w:val="00D434D1"/>
    <w:rsid w:val="00D632E3"/>
    <w:rsid w:val="00D8067E"/>
    <w:rsid w:val="00DF46DC"/>
    <w:rsid w:val="00DF64A2"/>
    <w:rsid w:val="00E021B4"/>
    <w:rsid w:val="00E051D8"/>
    <w:rsid w:val="00E142E8"/>
    <w:rsid w:val="00E84564"/>
    <w:rsid w:val="00EB3FED"/>
    <w:rsid w:val="00EB6223"/>
    <w:rsid w:val="00EC5BE6"/>
    <w:rsid w:val="00EF0C41"/>
    <w:rsid w:val="00EF6BAD"/>
    <w:rsid w:val="00F033A8"/>
    <w:rsid w:val="00F17CE0"/>
    <w:rsid w:val="00F51480"/>
    <w:rsid w:val="00F5469B"/>
    <w:rsid w:val="00F6521C"/>
    <w:rsid w:val="00F655A1"/>
    <w:rsid w:val="00F80A1D"/>
    <w:rsid w:val="00F92BCE"/>
    <w:rsid w:val="00FE4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021"/>
    <w:pPr>
      <w:spacing w:after="0" w:line="240" w:lineRule="auto"/>
    </w:pPr>
    <w:rPr>
      <w:rFonts w:ascii="Calibri" w:hAnsi="Calibri" w:cs="Times New Roman"/>
    </w:rPr>
  </w:style>
  <w:style w:type="paragraph" w:styleId="Heading6">
    <w:name w:val="heading 6"/>
    <w:basedOn w:val="Normal"/>
    <w:link w:val="Heading6Char"/>
    <w:uiPriority w:val="9"/>
    <w:qFormat/>
    <w:rsid w:val="000C39BC"/>
    <w:pPr>
      <w:outlineLvl w:val="5"/>
    </w:pPr>
    <w:rPr>
      <w:rFonts w:ascii="Times New Roman" w:hAnsi="Times New Roman"/>
      <w:b/>
      <w:bCs/>
      <w:color w:val="335183"/>
      <w:sz w:val="31"/>
      <w:szCs w:val="3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144D"/>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E051D8"/>
    <w:rPr>
      <w:rFonts w:eastAsiaTheme="minorHAnsi" w:cstheme="minorBidi"/>
      <w:szCs w:val="21"/>
    </w:rPr>
  </w:style>
  <w:style w:type="character" w:customStyle="1" w:styleId="PlainTextChar">
    <w:name w:val="Plain Text Char"/>
    <w:basedOn w:val="DefaultParagraphFont"/>
    <w:link w:val="PlainText"/>
    <w:uiPriority w:val="99"/>
    <w:semiHidden/>
    <w:rsid w:val="00E051D8"/>
    <w:rPr>
      <w:rFonts w:ascii="Calibri" w:eastAsiaTheme="minorHAnsi" w:hAnsi="Calibri"/>
      <w:szCs w:val="21"/>
    </w:rPr>
  </w:style>
  <w:style w:type="paragraph" w:styleId="BalloonText">
    <w:name w:val="Balloon Text"/>
    <w:basedOn w:val="Normal"/>
    <w:link w:val="BalloonTextChar"/>
    <w:uiPriority w:val="99"/>
    <w:semiHidden/>
    <w:unhideWhenUsed/>
    <w:rsid w:val="00731F65"/>
    <w:rPr>
      <w:rFonts w:ascii="Tahoma" w:hAnsi="Tahoma" w:cs="Tahoma"/>
      <w:sz w:val="16"/>
      <w:szCs w:val="16"/>
    </w:rPr>
  </w:style>
  <w:style w:type="character" w:customStyle="1" w:styleId="BalloonTextChar">
    <w:name w:val="Balloon Text Char"/>
    <w:basedOn w:val="DefaultParagraphFont"/>
    <w:link w:val="BalloonText"/>
    <w:uiPriority w:val="99"/>
    <w:semiHidden/>
    <w:rsid w:val="00731F65"/>
    <w:rPr>
      <w:rFonts w:ascii="Tahoma" w:hAnsi="Tahoma" w:cs="Tahoma"/>
      <w:sz w:val="16"/>
      <w:szCs w:val="16"/>
    </w:rPr>
  </w:style>
  <w:style w:type="character" w:styleId="CommentReference">
    <w:name w:val="annotation reference"/>
    <w:basedOn w:val="DefaultParagraphFont"/>
    <w:uiPriority w:val="99"/>
    <w:semiHidden/>
    <w:unhideWhenUsed/>
    <w:rsid w:val="001860A0"/>
    <w:rPr>
      <w:sz w:val="16"/>
      <w:szCs w:val="16"/>
    </w:rPr>
  </w:style>
  <w:style w:type="paragraph" w:styleId="CommentText">
    <w:name w:val="annotation text"/>
    <w:basedOn w:val="Normal"/>
    <w:link w:val="CommentTextChar"/>
    <w:uiPriority w:val="99"/>
    <w:semiHidden/>
    <w:unhideWhenUsed/>
    <w:rsid w:val="001860A0"/>
    <w:rPr>
      <w:sz w:val="20"/>
      <w:szCs w:val="20"/>
    </w:rPr>
  </w:style>
  <w:style w:type="character" w:customStyle="1" w:styleId="CommentTextChar">
    <w:name w:val="Comment Text Char"/>
    <w:basedOn w:val="DefaultParagraphFont"/>
    <w:link w:val="CommentText"/>
    <w:uiPriority w:val="99"/>
    <w:semiHidden/>
    <w:rsid w:val="001860A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60A0"/>
    <w:rPr>
      <w:b/>
      <w:bCs/>
    </w:rPr>
  </w:style>
  <w:style w:type="character" w:customStyle="1" w:styleId="CommentSubjectChar">
    <w:name w:val="Comment Subject Char"/>
    <w:basedOn w:val="CommentTextChar"/>
    <w:link w:val="CommentSubject"/>
    <w:uiPriority w:val="99"/>
    <w:semiHidden/>
    <w:rsid w:val="001860A0"/>
    <w:rPr>
      <w:rFonts w:ascii="Calibri" w:hAnsi="Calibri" w:cs="Times New Roman"/>
      <w:b/>
      <w:bCs/>
      <w:sz w:val="20"/>
      <w:szCs w:val="20"/>
    </w:rPr>
  </w:style>
  <w:style w:type="paragraph" w:styleId="ListParagraph">
    <w:name w:val="List Paragraph"/>
    <w:basedOn w:val="Normal"/>
    <w:uiPriority w:val="1"/>
    <w:qFormat/>
    <w:rsid w:val="001860A0"/>
    <w:pPr>
      <w:widowControl w:val="0"/>
      <w:ind w:left="666" w:hanging="566"/>
    </w:pPr>
    <w:rPr>
      <w:rFonts w:ascii="Arial" w:eastAsia="Arial" w:hAnsi="Arial" w:cs="Arial"/>
      <w:lang w:val="en-US"/>
    </w:rPr>
  </w:style>
  <w:style w:type="paragraph" w:styleId="NormalWeb">
    <w:name w:val="Normal (Web)"/>
    <w:basedOn w:val="Normal"/>
    <w:uiPriority w:val="99"/>
    <w:unhideWhenUsed/>
    <w:rsid w:val="0004542E"/>
    <w:pPr>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unhideWhenUsed/>
    <w:rsid w:val="00A6165B"/>
    <w:rPr>
      <w:color w:val="0000FF" w:themeColor="hyperlink"/>
      <w:u w:val="single"/>
    </w:rPr>
  </w:style>
  <w:style w:type="character" w:styleId="FollowedHyperlink">
    <w:name w:val="FollowedHyperlink"/>
    <w:basedOn w:val="DefaultParagraphFont"/>
    <w:uiPriority w:val="99"/>
    <w:semiHidden/>
    <w:unhideWhenUsed/>
    <w:rsid w:val="00A6165B"/>
    <w:rPr>
      <w:color w:val="800080" w:themeColor="followedHyperlink"/>
      <w:u w:val="single"/>
    </w:rPr>
  </w:style>
  <w:style w:type="character" w:customStyle="1" w:styleId="Heading6Char">
    <w:name w:val="Heading 6 Char"/>
    <w:basedOn w:val="DefaultParagraphFont"/>
    <w:link w:val="Heading6"/>
    <w:uiPriority w:val="9"/>
    <w:rsid w:val="000C39BC"/>
    <w:rPr>
      <w:rFonts w:ascii="Times New Roman" w:hAnsi="Times New Roman" w:cs="Times New Roman"/>
      <w:b/>
      <w:bCs/>
      <w:color w:val="335183"/>
      <w:sz w:val="31"/>
      <w:szCs w:val="31"/>
      <w:lang w:eastAsia="en-GB"/>
    </w:rPr>
  </w:style>
  <w:style w:type="character" w:styleId="Strong">
    <w:name w:val="Strong"/>
    <w:basedOn w:val="DefaultParagraphFont"/>
    <w:uiPriority w:val="22"/>
    <w:qFormat/>
    <w:rsid w:val="000C39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021"/>
    <w:pPr>
      <w:spacing w:after="0" w:line="240" w:lineRule="auto"/>
    </w:pPr>
    <w:rPr>
      <w:rFonts w:ascii="Calibri" w:hAnsi="Calibri" w:cs="Times New Roman"/>
    </w:rPr>
  </w:style>
  <w:style w:type="paragraph" w:styleId="Heading6">
    <w:name w:val="heading 6"/>
    <w:basedOn w:val="Normal"/>
    <w:link w:val="Heading6Char"/>
    <w:uiPriority w:val="9"/>
    <w:qFormat/>
    <w:rsid w:val="000C39BC"/>
    <w:pPr>
      <w:outlineLvl w:val="5"/>
    </w:pPr>
    <w:rPr>
      <w:rFonts w:ascii="Times New Roman" w:hAnsi="Times New Roman"/>
      <w:b/>
      <w:bCs/>
      <w:color w:val="335183"/>
      <w:sz w:val="31"/>
      <w:szCs w:val="3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144D"/>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E051D8"/>
    <w:rPr>
      <w:rFonts w:eastAsiaTheme="minorHAnsi" w:cstheme="minorBidi"/>
      <w:szCs w:val="21"/>
    </w:rPr>
  </w:style>
  <w:style w:type="character" w:customStyle="1" w:styleId="PlainTextChar">
    <w:name w:val="Plain Text Char"/>
    <w:basedOn w:val="DefaultParagraphFont"/>
    <w:link w:val="PlainText"/>
    <w:uiPriority w:val="99"/>
    <w:semiHidden/>
    <w:rsid w:val="00E051D8"/>
    <w:rPr>
      <w:rFonts w:ascii="Calibri" w:eastAsiaTheme="minorHAnsi" w:hAnsi="Calibri"/>
      <w:szCs w:val="21"/>
    </w:rPr>
  </w:style>
  <w:style w:type="paragraph" w:styleId="BalloonText">
    <w:name w:val="Balloon Text"/>
    <w:basedOn w:val="Normal"/>
    <w:link w:val="BalloonTextChar"/>
    <w:uiPriority w:val="99"/>
    <w:semiHidden/>
    <w:unhideWhenUsed/>
    <w:rsid w:val="00731F65"/>
    <w:rPr>
      <w:rFonts w:ascii="Tahoma" w:hAnsi="Tahoma" w:cs="Tahoma"/>
      <w:sz w:val="16"/>
      <w:szCs w:val="16"/>
    </w:rPr>
  </w:style>
  <w:style w:type="character" w:customStyle="1" w:styleId="BalloonTextChar">
    <w:name w:val="Balloon Text Char"/>
    <w:basedOn w:val="DefaultParagraphFont"/>
    <w:link w:val="BalloonText"/>
    <w:uiPriority w:val="99"/>
    <w:semiHidden/>
    <w:rsid w:val="00731F65"/>
    <w:rPr>
      <w:rFonts w:ascii="Tahoma" w:hAnsi="Tahoma" w:cs="Tahoma"/>
      <w:sz w:val="16"/>
      <w:szCs w:val="16"/>
    </w:rPr>
  </w:style>
  <w:style w:type="character" w:styleId="CommentReference">
    <w:name w:val="annotation reference"/>
    <w:basedOn w:val="DefaultParagraphFont"/>
    <w:uiPriority w:val="99"/>
    <w:semiHidden/>
    <w:unhideWhenUsed/>
    <w:rsid w:val="001860A0"/>
    <w:rPr>
      <w:sz w:val="16"/>
      <w:szCs w:val="16"/>
    </w:rPr>
  </w:style>
  <w:style w:type="paragraph" w:styleId="CommentText">
    <w:name w:val="annotation text"/>
    <w:basedOn w:val="Normal"/>
    <w:link w:val="CommentTextChar"/>
    <w:uiPriority w:val="99"/>
    <w:semiHidden/>
    <w:unhideWhenUsed/>
    <w:rsid w:val="001860A0"/>
    <w:rPr>
      <w:sz w:val="20"/>
      <w:szCs w:val="20"/>
    </w:rPr>
  </w:style>
  <w:style w:type="character" w:customStyle="1" w:styleId="CommentTextChar">
    <w:name w:val="Comment Text Char"/>
    <w:basedOn w:val="DefaultParagraphFont"/>
    <w:link w:val="CommentText"/>
    <w:uiPriority w:val="99"/>
    <w:semiHidden/>
    <w:rsid w:val="001860A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60A0"/>
    <w:rPr>
      <w:b/>
      <w:bCs/>
    </w:rPr>
  </w:style>
  <w:style w:type="character" w:customStyle="1" w:styleId="CommentSubjectChar">
    <w:name w:val="Comment Subject Char"/>
    <w:basedOn w:val="CommentTextChar"/>
    <w:link w:val="CommentSubject"/>
    <w:uiPriority w:val="99"/>
    <w:semiHidden/>
    <w:rsid w:val="001860A0"/>
    <w:rPr>
      <w:rFonts w:ascii="Calibri" w:hAnsi="Calibri" w:cs="Times New Roman"/>
      <w:b/>
      <w:bCs/>
      <w:sz w:val="20"/>
      <w:szCs w:val="20"/>
    </w:rPr>
  </w:style>
  <w:style w:type="paragraph" w:styleId="ListParagraph">
    <w:name w:val="List Paragraph"/>
    <w:basedOn w:val="Normal"/>
    <w:uiPriority w:val="1"/>
    <w:qFormat/>
    <w:rsid w:val="001860A0"/>
    <w:pPr>
      <w:widowControl w:val="0"/>
      <w:ind w:left="666" w:hanging="566"/>
    </w:pPr>
    <w:rPr>
      <w:rFonts w:ascii="Arial" w:eastAsia="Arial" w:hAnsi="Arial" w:cs="Arial"/>
      <w:lang w:val="en-US"/>
    </w:rPr>
  </w:style>
  <w:style w:type="paragraph" w:styleId="NormalWeb">
    <w:name w:val="Normal (Web)"/>
    <w:basedOn w:val="Normal"/>
    <w:uiPriority w:val="99"/>
    <w:unhideWhenUsed/>
    <w:rsid w:val="0004542E"/>
    <w:pPr>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unhideWhenUsed/>
    <w:rsid w:val="00A6165B"/>
    <w:rPr>
      <w:color w:val="0000FF" w:themeColor="hyperlink"/>
      <w:u w:val="single"/>
    </w:rPr>
  </w:style>
  <w:style w:type="character" w:styleId="FollowedHyperlink">
    <w:name w:val="FollowedHyperlink"/>
    <w:basedOn w:val="DefaultParagraphFont"/>
    <w:uiPriority w:val="99"/>
    <w:semiHidden/>
    <w:unhideWhenUsed/>
    <w:rsid w:val="00A6165B"/>
    <w:rPr>
      <w:color w:val="800080" w:themeColor="followedHyperlink"/>
      <w:u w:val="single"/>
    </w:rPr>
  </w:style>
  <w:style w:type="character" w:customStyle="1" w:styleId="Heading6Char">
    <w:name w:val="Heading 6 Char"/>
    <w:basedOn w:val="DefaultParagraphFont"/>
    <w:link w:val="Heading6"/>
    <w:uiPriority w:val="9"/>
    <w:rsid w:val="000C39BC"/>
    <w:rPr>
      <w:rFonts w:ascii="Times New Roman" w:hAnsi="Times New Roman" w:cs="Times New Roman"/>
      <w:b/>
      <w:bCs/>
      <w:color w:val="335183"/>
      <w:sz w:val="31"/>
      <w:szCs w:val="31"/>
      <w:lang w:eastAsia="en-GB"/>
    </w:rPr>
  </w:style>
  <w:style w:type="character" w:styleId="Strong">
    <w:name w:val="Strong"/>
    <w:basedOn w:val="DefaultParagraphFont"/>
    <w:uiPriority w:val="22"/>
    <w:qFormat/>
    <w:rsid w:val="000C39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608112">
      <w:bodyDiv w:val="1"/>
      <w:marLeft w:val="0"/>
      <w:marRight w:val="0"/>
      <w:marTop w:val="0"/>
      <w:marBottom w:val="0"/>
      <w:divBdr>
        <w:top w:val="none" w:sz="0" w:space="0" w:color="auto"/>
        <w:left w:val="none" w:sz="0" w:space="0" w:color="auto"/>
        <w:bottom w:val="none" w:sz="0" w:space="0" w:color="auto"/>
        <w:right w:val="none" w:sz="0" w:space="0" w:color="auto"/>
      </w:divBdr>
    </w:div>
    <w:div w:id="1291784133">
      <w:bodyDiv w:val="1"/>
      <w:marLeft w:val="0"/>
      <w:marRight w:val="0"/>
      <w:marTop w:val="0"/>
      <w:marBottom w:val="0"/>
      <w:divBdr>
        <w:top w:val="none" w:sz="0" w:space="0" w:color="auto"/>
        <w:left w:val="none" w:sz="0" w:space="0" w:color="auto"/>
        <w:bottom w:val="none" w:sz="0" w:space="0" w:color="auto"/>
        <w:right w:val="none" w:sz="0" w:space="0" w:color="auto"/>
      </w:divBdr>
    </w:div>
    <w:div w:id="1414008362">
      <w:bodyDiv w:val="1"/>
      <w:marLeft w:val="0"/>
      <w:marRight w:val="0"/>
      <w:marTop w:val="0"/>
      <w:marBottom w:val="0"/>
      <w:divBdr>
        <w:top w:val="none" w:sz="0" w:space="0" w:color="auto"/>
        <w:left w:val="none" w:sz="0" w:space="0" w:color="auto"/>
        <w:bottom w:val="none" w:sz="0" w:space="0" w:color="auto"/>
        <w:right w:val="none" w:sz="0" w:space="0" w:color="auto"/>
      </w:divBdr>
      <w:divsChild>
        <w:div w:id="289357911">
          <w:marLeft w:val="0"/>
          <w:marRight w:val="0"/>
          <w:marTop w:val="0"/>
          <w:marBottom w:val="0"/>
          <w:divBdr>
            <w:top w:val="none" w:sz="0" w:space="0" w:color="auto"/>
            <w:left w:val="none" w:sz="0" w:space="0" w:color="auto"/>
            <w:bottom w:val="none" w:sz="0" w:space="0" w:color="auto"/>
            <w:right w:val="none" w:sz="0" w:space="0" w:color="auto"/>
          </w:divBdr>
          <w:divsChild>
            <w:div w:id="2053841322">
              <w:marLeft w:val="0"/>
              <w:marRight w:val="0"/>
              <w:marTop w:val="0"/>
              <w:marBottom w:val="0"/>
              <w:divBdr>
                <w:top w:val="none" w:sz="0" w:space="0" w:color="auto"/>
                <w:left w:val="none" w:sz="0" w:space="0" w:color="auto"/>
                <w:bottom w:val="none" w:sz="0" w:space="0" w:color="auto"/>
                <w:right w:val="none" w:sz="0" w:space="0" w:color="auto"/>
              </w:divBdr>
              <w:divsChild>
                <w:div w:id="1623340449">
                  <w:marLeft w:val="2985"/>
                  <w:marRight w:val="2985"/>
                  <w:marTop w:val="0"/>
                  <w:marBottom w:val="0"/>
                  <w:divBdr>
                    <w:top w:val="none" w:sz="0" w:space="0" w:color="auto"/>
                    <w:left w:val="none" w:sz="0" w:space="0" w:color="auto"/>
                    <w:bottom w:val="none" w:sz="0" w:space="0" w:color="auto"/>
                    <w:right w:val="none" w:sz="0" w:space="0" w:color="auto"/>
                  </w:divBdr>
                  <w:divsChild>
                    <w:div w:id="174227297">
                      <w:marLeft w:val="0"/>
                      <w:marRight w:val="0"/>
                      <w:marTop w:val="0"/>
                      <w:marBottom w:val="0"/>
                      <w:divBdr>
                        <w:top w:val="none" w:sz="0" w:space="0" w:color="auto"/>
                        <w:left w:val="none" w:sz="0" w:space="0" w:color="auto"/>
                        <w:bottom w:val="none" w:sz="0" w:space="0" w:color="auto"/>
                        <w:right w:val="none" w:sz="0" w:space="0" w:color="auto"/>
                      </w:divBdr>
                      <w:divsChild>
                        <w:div w:id="1588227964">
                          <w:marLeft w:val="0"/>
                          <w:marRight w:val="0"/>
                          <w:marTop w:val="0"/>
                          <w:marBottom w:val="0"/>
                          <w:divBdr>
                            <w:top w:val="none" w:sz="0" w:space="0" w:color="auto"/>
                            <w:left w:val="none" w:sz="0" w:space="0" w:color="auto"/>
                            <w:bottom w:val="none" w:sz="0" w:space="0" w:color="auto"/>
                            <w:right w:val="none" w:sz="0" w:space="0" w:color="auto"/>
                          </w:divBdr>
                          <w:divsChild>
                            <w:div w:id="17799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513858">
      <w:bodyDiv w:val="1"/>
      <w:marLeft w:val="0"/>
      <w:marRight w:val="0"/>
      <w:marTop w:val="0"/>
      <w:marBottom w:val="0"/>
      <w:divBdr>
        <w:top w:val="none" w:sz="0" w:space="0" w:color="auto"/>
        <w:left w:val="none" w:sz="0" w:space="0" w:color="auto"/>
        <w:bottom w:val="none" w:sz="0" w:space="0" w:color="auto"/>
        <w:right w:val="none" w:sz="0" w:space="0" w:color="auto"/>
      </w:divBdr>
    </w:div>
    <w:div w:id="1679382725">
      <w:bodyDiv w:val="1"/>
      <w:marLeft w:val="0"/>
      <w:marRight w:val="0"/>
      <w:marTop w:val="0"/>
      <w:marBottom w:val="0"/>
      <w:divBdr>
        <w:top w:val="none" w:sz="0" w:space="0" w:color="auto"/>
        <w:left w:val="none" w:sz="0" w:space="0" w:color="auto"/>
        <w:bottom w:val="none" w:sz="0" w:space="0" w:color="auto"/>
        <w:right w:val="none" w:sz="0" w:space="0" w:color="auto"/>
      </w:divBdr>
    </w:div>
    <w:div w:id="1758595517">
      <w:bodyDiv w:val="1"/>
      <w:marLeft w:val="0"/>
      <w:marRight w:val="0"/>
      <w:marTop w:val="0"/>
      <w:marBottom w:val="0"/>
      <w:divBdr>
        <w:top w:val="none" w:sz="0" w:space="0" w:color="auto"/>
        <w:left w:val="none" w:sz="0" w:space="0" w:color="auto"/>
        <w:bottom w:val="none" w:sz="0" w:space="0" w:color="auto"/>
        <w:right w:val="none" w:sz="0" w:space="0" w:color="auto"/>
      </w:divBdr>
    </w:div>
    <w:div w:id="2006007803">
      <w:bodyDiv w:val="1"/>
      <w:marLeft w:val="0"/>
      <w:marRight w:val="0"/>
      <w:marTop w:val="0"/>
      <w:marBottom w:val="0"/>
      <w:divBdr>
        <w:top w:val="none" w:sz="0" w:space="0" w:color="auto"/>
        <w:left w:val="none" w:sz="0" w:space="0" w:color="auto"/>
        <w:bottom w:val="none" w:sz="0" w:space="0" w:color="auto"/>
        <w:right w:val="none" w:sz="0" w:space="0" w:color="auto"/>
      </w:divBdr>
    </w:div>
    <w:div w:id="2095272949">
      <w:bodyDiv w:val="1"/>
      <w:marLeft w:val="0"/>
      <w:marRight w:val="0"/>
      <w:marTop w:val="0"/>
      <w:marBottom w:val="0"/>
      <w:divBdr>
        <w:top w:val="none" w:sz="0" w:space="0" w:color="auto"/>
        <w:left w:val="none" w:sz="0" w:space="0" w:color="auto"/>
        <w:bottom w:val="none" w:sz="0" w:space="0" w:color="auto"/>
        <w:right w:val="none" w:sz="0" w:space="0" w:color="auto"/>
      </w:divBdr>
      <w:divsChild>
        <w:div w:id="1171330873">
          <w:marLeft w:val="0"/>
          <w:marRight w:val="0"/>
          <w:marTop w:val="0"/>
          <w:marBottom w:val="0"/>
          <w:divBdr>
            <w:top w:val="none" w:sz="0" w:space="0" w:color="auto"/>
            <w:left w:val="none" w:sz="0" w:space="0" w:color="auto"/>
            <w:bottom w:val="none" w:sz="0" w:space="0" w:color="auto"/>
            <w:right w:val="none" w:sz="0" w:space="0" w:color="auto"/>
          </w:divBdr>
          <w:divsChild>
            <w:div w:id="591932995">
              <w:marLeft w:val="0"/>
              <w:marRight w:val="0"/>
              <w:marTop w:val="0"/>
              <w:marBottom w:val="0"/>
              <w:divBdr>
                <w:top w:val="none" w:sz="0" w:space="0" w:color="auto"/>
                <w:left w:val="none" w:sz="0" w:space="0" w:color="auto"/>
                <w:bottom w:val="none" w:sz="0" w:space="0" w:color="auto"/>
                <w:right w:val="none" w:sz="0" w:space="0" w:color="auto"/>
              </w:divBdr>
              <w:divsChild>
                <w:div w:id="676151064">
                  <w:marLeft w:val="0"/>
                  <w:marRight w:val="0"/>
                  <w:marTop w:val="0"/>
                  <w:marBottom w:val="0"/>
                  <w:divBdr>
                    <w:top w:val="none" w:sz="0" w:space="0" w:color="auto"/>
                    <w:left w:val="none" w:sz="0" w:space="0" w:color="auto"/>
                    <w:bottom w:val="none" w:sz="0" w:space="0" w:color="auto"/>
                    <w:right w:val="none" w:sz="0" w:space="0" w:color="auto"/>
                  </w:divBdr>
                  <w:divsChild>
                    <w:div w:id="1387333687">
                      <w:marLeft w:val="0"/>
                      <w:marRight w:val="0"/>
                      <w:marTop w:val="0"/>
                      <w:marBottom w:val="0"/>
                      <w:divBdr>
                        <w:top w:val="none" w:sz="0" w:space="0" w:color="auto"/>
                        <w:left w:val="none" w:sz="0" w:space="0" w:color="auto"/>
                        <w:bottom w:val="none" w:sz="0" w:space="0" w:color="auto"/>
                        <w:right w:val="none" w:sz="0" w:space="0" w:color="auto"/>
                      </w:divBdr>
                      <w:divsChild>
                        <w:div w:id="21368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cot/Topics/People/Young-People/families/rights/child-rights-wellbeing-impact-assessment" TargetMode="External"/><Relationship Id="rId3" Type="http://schemas.microsoft.com/office/2007/relationships/stylesWithEffects" Target="stylesWithEffects.xml"/><Relationship Id="rId7" Type="http://schemas.openxmlformats.org/officeDocument/2006/relationships/hyperlink" Target="http://www.gov.scot/Topics/People/Young-People/families/rights/child-rights-wellbeing-impact-assessment"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scotland.gov.uk/childrens-rights-and-participation-team/childrens-rights-reporting/results/consultation-analysis.pdf"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u204185</dc:creator>
  <cp:lastModifiedBy>U441317</cp:lastModifiedBy>
  <cp:revision>2</cp:revision>
  <cp:lastPrinted>2016-11-01T11:18:00Z</cp:lastPrinted>
  <dcterms:created xsi:type="dcterms:W3CDTF">2016-11-07T16:32:00Z</dcterms:created>
  <dcterms:modified xsi:type="dcterms:W3CDTF">2016-11-07T16:32:00Z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A15648254</vt:lpwstr>
  </property>
  <property fmtid="{D5CDD505-2E9C-101B-9397-08002B2CF9AE}" pid="4" name="Objective-Title">
    <vt:lpwstr>Children's Services Planning - Consultation analysis report - Scottish Government response -final - October 2016</vt:lpwstr>
  </property>
  <property fmtid="{D5CDD505-2E9C-101B-9397-08002B2CF9AE}" pid="5" name="Objective-Comment">
    <vt:lpwstr>
    </vt:lpwstr>
  </property>
  <property fmtid="{D5CDD505-2E9C-101B-9397-08002B2CF9AE}" pid="6" name="Objective-CreationStamp">
    <vt:filetime>2016-10-13T13:08:33Z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2016-11-04T09:37:21Z</vt:filetime>
  </property>
  <property fmtid="{D5CDD505-2E9C-101B-9397-08002B2CF9AE}" pid="10" name="Objective-ModificationStamp">
    <vt:filetime>2016-11-04T09:37:25Z</vt:filetime>
  </property>
  <property fmtid="{D5CDD505-2E9C-101B-9397-08002B2CF9AE}" pid="11" name="Objective-Owner">
    <vt:lpwstr>Steenberg, Catrina C (u204185)</vt:lpwstr>
  </property>
  <property fmtid="{D5CDD505-2E9C-101B-9397-08002B2CF9AE}" pid="12" name="Objective-Path">
    <vt:lpwstr>Objective Global Folder:SG File Plan:People, communities and living:Families and children:Care for children:Advice and policy: Care for children:Children's Rights and Participation: Children's Rights and Services Planning policy: 2015-2020:</vt:lpwstr>
  </property>
  <property fmtid="{D5CDD505-2E9C-101B-9397-08002B2CF9AE}" pid="13" name="Objective-Parent">
    <vt:lpwstr>Children's Rights and Participation: Children's Rights and Services Planning policy: 2015-2020</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i4>13</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