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46" w:rsidRPr="00DD3B38" w:rsidRDefault="00577A46" w:rsidP="005254D4">
      <w:pPr>
        <w:jc w:val="both"/>
        <w:rPr>
          <w:rFonts w:cs="Arial"/>
          <w:sz w:val="32"/>
          <w:szCs w:val="32"/>
        </w:rPr>
      </w:pPr>
      <w:bookmarkStart w:id="0" w:name="_GoBack"/>
      <w:bookmarkEnd w:id="0"/>
    </w:p>
    <w:p w:rsidR="00001023" w:rsidRPr="00DD3B38" w:rsidRDefault="005F62C0" w:rsidP="005254D4">
      <w:pPr>
        <w:jc w:val="both"/>
        <w:rPr>
          <w:rFonts w:cs="Arial"/>
          <w:sz w:val="32"/>
          <w:szCs w:val="32"/>
        </w:rPr>
      </w:pPr>
      <w:r w:rsidRPr="00DA053E">
        <w:rPr>
          <w:rFonts w:cs="Arial"/>
          <w:b/>
          <w:sz w:val="32"/>
          <w:szCs w:val="32"/>
          <w:u w:val="single"/>
        </w:rPr>
        <w:t>Partial</w:t>
      </w:r>
    </w:p>
    <w:p w:rsidR="00E3599D" w:rsidRPr="00DD3B38" w:rsidRDefault="00521A5B" w:rsidP="005254D4">
      <w:pPr>
        <w:jc w:val="both"/>
        <w:rPr>
          <w:rFonts w:cs="Arial"/>
          <w:sz w:val="32"/>
          <w:szCs w:val="32"/>
        </w:rPr>
      </w:pPr>
      <w:r w:rsidRPr="00DD3B38">
        <w:rPr>
          <w:rFonts w:cs="Arial"/>
          <w:sz w:val="32"/>
          <w:szCs w:val="32"/>
        </w:rPr>
        <w:t>B</w:t>
      </w:r>
      <w:r w:rsidR="00CD73F1" w:rsidRPr="00DD3B38">
        <w:rPr>
          <w:rFonts w:cs="Arial"/>
          <w:sz w:val="32"/>
          <w:szCs w:val="32"/>
        </w:rPr>
        <w:t xml:space="preserve">usiness and </w:t>
      </w:r>
      <w:r w:rsidR="003D3099" w:rsidRPr="00DD3B38">
        <w:rPr>
          <w:rFonts w:cs="Arial"/>
          <w:sz w:val="32"/>
          <w:szCs w:val="32"/>
        </w:rPr>
        <w:t>Regulatory</w:t>
      </w:r>
      <w:r w:rsidR="00977F45" w:rsidRPr="00DD3B38">
        <w:rPr>
          <w:rFonts w:cs="Arial"/>
          <w:sz w:val="32"/>
          <w:szCs w:val="32"/>
        </w:rPr>
        <w:t xml:space="preserve"> Impact Assessment </w:t>
      </w:r>
    </w:p>
    <w:p w:rsidR="0096546A" w:rsidRPr="00DD3B38" w:rsidRDefault="0096546A" w:rsidP="005254D4">
      <w:pPr>
        <w:jc w:val="both"/>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6546A" w:rsidRPr="00DD3B38" w:rsidTr="00FF0EE2">
        <w:tc>
          <w:tcPr>
            <w:tcW w:w="5000" w:type="pct"/>
            <w:shd w:val="clear" w:color="auto" w:fill="auto"/>
          </w:tcPr>
          <w:p w:rsidR="0096546A" w:rsidRDefault="0096546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Title of Proposal</w:t>
            </w:r>
            <w:r w:rsidR="00E1039A" w:rsidRPr="00DD3B38">
              <w:rPr>
                <w:rFonts w:cs="Arial"/>
                <w:b/>
                <w:sz w:val="24"/>
                <w:szCs w:val="24"/>
              </w:rPr>
              <w:t xml:space="preserve"> </w:t>
            </w:r>
          </w:p>
          <w:p w:rsidR="00E72229" w:rsidRPr="00DD3B38" w:rsidRDefault="00E72229"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577A46" w:rsidRPr="00DD3B38" w:rsidRDefault="00E72229"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Directive 2014/55/EU of the European Parliament and of the Council of 16 April 2014 on </w:t>
            </w:r>
            <w:r w:rsidR="00EC10C5">
              <w:rPr>
                <w:rFonts w:cs="Arial"/>
                <w:sz w:val="24"/>
                <w:szCs w:val="24"/>
              </w:rPr>
              <w:t>E</w:t>
            </w:r>
            <w:r>
              <w:rPr>
                <w:rFonts w:cs="Arial"/>
                <w:sz w:val="24"/>
                <w:szCs w:val="24"/>
              </w:rPr>
              <w:t>lectronic</w:t>
            </w:r>
            <w:r w:rsidR="003607B1">
              <w:rPr>
                <w:rFonts w:cs="Arial"/>
                <w:sz w:val="24"/>
                <w:szCs w:val="24"/>
              </w:rPr>
              <w:t xml:space="preserve"> </w:t>
            </w:r>
            <w:r w:rsidR="00EC10C5">
              <w:rPr>
                <w:rFonts w:cs="Arial"/>
                <w:sz w:val="24"/>
                <w:szCs w:val="24"/>
              </w:rPr>
              <w:t>I</w:t>
            </w:r>
            <w:r w:rsidR="003607B1">
              <w:rPr>
                <w:rFonts w:cs="Arial"/>
                <w:sz w:val="24"/>
                <w:szCs w:val="24"/>
              </w:rPr>
              <w:t xml:space="preserve">nvoicing in </w:t>
            </w:r>
            <w:r w:rsidR="00EC10C5">
              <w:rPr>
                <w:rFonts w:cs="Arial"/>
                <w:sz w:val="24"/>
                <w:szCs w:val="24"/>
              </w:rPr>
              <w:t>P</w:t>
            </w:r>
            <w:r w:rsidR="003607B1">
              <w:rPr>
                <w:rFonts w:cs="Arial"/>
                <w:sz w:val="24"/>
                <w:szCs w:val="24"/>
              </w:rPr>
              <w:t xml:space="preserve">ublic </w:t>
            </w:r>
            <w:r w:rsidR="00EC10C5">
              <w:rPr>
                <w:rFonts w:cs="Arial"/>
                <w:sz w:val="24"/>
                <w:szCs w:val="24"/>
              </w:rPr>
              <w:t>P</w:t>
            </w:r>
            <w:r w:rsidR="003607B1">
              <w:rPr>
                <w:rFonts w:cs="Arial"/>
                <w:sz w:val="24"/>
                <w:szCs w:val="24"/>
              </w:rPr>
              <w:t>rocurement</w:t>
            </w:r>
          </w:p>
          <w:p w:rsidR="00521A5B" w:rsidRPr="00DD3B38" w:rsidRDefault="00521A5B" w:rsidP="005254D4">
            <w:pPr>
              <w:tabs>
                <w:tab w:val="left" w:pos="720"/>
                <w:tab w:val="left" w:pos="1440"/>
                <w:tab w:val="left" w:pos="2160"/>
                <w:tab w:val="left" w:pos="2880"/>
                <w:tab w:val="left" w:pos="4680"/>
                <w:tab w:val="left" w:pos="5400"/>
                <w:tab w:val="right" w:pos="9000"/>
              </w:tabs>
              <w:spacing w:line="240" w:lineRule="atLeast"/>
              <w:ind w:left="360"/>
              <w:jc w:val="both"/>
              <w:rPr>
                <w:rFonts w:cs="Arial"/>
                <w:b/>
                <w:sz w:val="24"/>
                <w:szCs w:val="24"/>
              </w:rPr>
            </w:pPr>
          </w:p>
        </w:tc>
      </w:tr>
      <w:tr w:rsidR="0096546A" w:rsidRPr="00DD3B38" w:rsidTr="00FF0EE2">
        <w:tc>
          <w:tcPr>
            <w:tcW w:w="5000" w:type="pct"/>
            <w:shd w:val="clear" w:color="auto" w:fill="auto"/>
          </w:tcPr>
          <w:p w:rsidR="00093C98" w:rsidRPr="00AA13C7" w:rsidRDefault="00093C98" w:rsidP="005254D4">
            <w:pPr>
              <w:pStyle w:val="ListParagraph"/>
              <w:numPr>
                <w:ilvl w:val="0"/>
                <w:numId w:val="34"/>
              </w:numPr>
              <w:rPr>
                <w:rFonts w:cs="Arial"/>
                <w:b/>
                <w:szCs w:val="24"/>
              </w:rPr>
            </w:pPr>
            <w:r w:rsidRPr="00AA13C7">
              <w:rPr>
                <w:rFonts w:cs="Arial"/>
                <w:b/>
                <w:szCs w:val="24"/>
              </w:rPr>
              <w:t>Purpose and intended effect:-</w:t>
            </w:r>
          </w:p>
          <w:p w:rsidR="00093C98" w:rsidRPr="00093C98" w:rsidRDefault="00093C98"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093C98" w:rsidRPr="00093C98" w:rsidRDefault="00093C98"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093C98">
              <w:rPr>
                <w:rFonts w:cs="Arial"/>
                <w:b/>
                <w:sz w:val="24"/>
                <w:szCs w:val="24"/>
              </w:rPr>
              <w:t>Objectives:</w:t>
            </w:r>
          </w:p>
          <w:p w:rsidR="00093C98" w:rsidRPr="00093C98" w:rsidRDefault="00093C98"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093C98" w:rsidRDefault="00B354D4" w:rsidP="005254D4">
            <w:pPr>
              <w:numPr>
                <w:ilvl w:val="0"/>
                <w:numId w:val="28"/>
              </w:numPr>
              <w:tabs>
                <w:tab w:val="left" w:pos="426"/>
                <w:tab w:val="left" w:pos="709"/>
                <w:tab w:val="left" w:pos="2160"/>
                <w:tab w:val="left" w:pos="4680"/>
                <w:tab w:val="left" w:pos="5400"/>
                <w:tab w:val="right" w:pos="9000"/>
              </w:tabs>
              <w:spacing w:line="240" w:lineRule="atLeast"/>
              <w:jc w:val="both"/>
              <w:rPr>
                <w:rFonts w:cs="Arial"/>
                <w:sz w:val="24"/>
                <w:szCs w:val="24"/>
              </w:rPr>
            </w:pPr>
            <w:r>
              <w:rPr>
                <w:rFonts w:cs="Arial"/>
                <w:sz w:val="24"/>
                <w:szCs w:val="24"/>
              </w:rPr>
              <w:t xml:space="preserve">to </w:t>
            </w:r>
            <w:r w:rsidR="00D02B7A">
              <w:rPr>
                <w:rFonts w:cs="Arial"/>
                <w:sz w:val="24"/>
                <w:szCs w:val="24"/>
              </w:rPr>
              <w:t>transpose Directive 2014/55/EU through</w:t>
            </w:r>
            <w:r>
              <w:rPr>
                <w:rFonts w:cs="Arial"/>
                <w:sz w:val="24"/>
                <w:szCs w:val="24"/>
              </w:rPr>
              <w:t xml:space="preserve"> </w:t>
            </w:r>
            <w:r w:rsidR="00093C98">
              <w:rPr>
                <w:rFonts w:cs="Arial"/>
                <w:sz w:val="24"/>
                <w:szCs w:val="24"/>
              </w:rPr>
              <w:t>amendment to the Public Contracts</w:t>
            </w:r>
            <w:r w:rsidR="00E73F01">
              <w:rPr>
                <w:rFonts w:cs="Arial"/>
                <w:sz w:val="24"/>
                <w:szCs w:val="24"/>
              </w:rPr>
              <w:t xml:space="preserve"> (Scotland)</w:t>
            </w:r>
            <w:r w:rsidR="00093C98">
              <w:rPr>
                <w:rFonts w:cs="Arial"/>
                <w:sz w:val="24"/>
                <w:szCs w:val="24"/>
              </w:rPr>
              <w:t xml:space="preserve"> Regulations 2015</w:t>
            </w:r>
          </w:p>
          <w:p w:rsidR="00093C98" w:rsidRPr="00093C98" w:rsidRDefault="00093C98" w:rsidP="005254D4">
            <w:pPr>
              <w:tabs>
                <w:tab w:val="left" w:pos="426"/>
                <w:tab w:val="left" w:pos="709"/>
                <w:tab w:val="left" w:pos="2160"/>
                <w:tab w:val="left" w:pos="4680"/>
                <w:tab w:val="left" w:pos="5400"/>
                <w:tab w:val="right" w:pos="9000"/>
              </w:tabs>
              <w:spacing w:line="240" w:lineRule="atLeast"/>
              <w:jc w:val="both"/>
              <w:rPr>
                <w:rFonts w:cs="Arial"/>
                <w:sz w:val="24"/>
                <w:szCs w:val="24"/>
              </w:rPr>
            </w:pPr>
          </w:p>
          <w:p w:rsidR="00093C98" w:rsidRDefault="00093C98" w:rsidP="005254D4">
            <w:pPr>
              <w:numPr>
                <w:ilvl w:val="0"/>
                <w:numId w:val="27"/>
              </w:numPr>
              <w:tabs>
                <w:tab w:val="left" w:pos="426"/>
                <w:tab w:val="left" w:pos="709"/>
                <w:tab w:val="left" w:pos="2160"/>
                <w:tab w:val="left" w:pos="4680"/>
                <w:tab w:val="left" w:pos="5400"/>
                <w:tab w:val="right" w:pos="9000"/>
              </w:tabs>
              <w:spacing w:line="240" w:lineRule="atLeast"/>
              <w:jc w:val="both"/>
              <w:rPr>
                <w:rFonts w:cs="Arial"/>
                <w:sz w:val="24"/>
                <w:szCs w:val="24"/>
              </w:rPr>
            </w:pPr>
            <w:r w:rsidRPr="00093C98">
              <w:rPr>
                <w:rFonts w:cs="Arial"/>
                <w:sz w:val="24"/>
                <w:szCs w:val="24"/>
              </w:rPr>
              <w:t xml:space="preserve">to modernise and simplify </w:t>
            </w:r>
            <w:r w:rsidR="00E73F01">
              <w:rPr>
                <w:rFonts w:cs="Arial"/>
                <w:sz w:val="24"/>
                <w:szCs w:val="24"/>
              </w:rPr>
              <w:t>Purchase-</w:t>
            </w:r>
            <w:r w:rsidR="00752B8B">
              <w:rPr>
                <w:rFonts w:cs="Arial"/>
                <w:sz w:val="24"/>
                <w:szCs w:val="24"/>
              </w:rPr>
              <w:t>to</w:t>
            </w:r>
            <w:r w:rsidR="00E73F01">
              <w:rPr>
                <w:rFonts w:cs="Arial"/>
                <w:sz w:val="24"/>
                <w:szCs w:val="24"/>
              </w:rPr>
              <w:t>-</w:t>
            </w:r>
            <w:r w:rsidR="00752B8B">
              <w:rPr>
                <w:rFonts w:cs="Arial"/>
                <w:sz w:val="24"/>
                <w:szCs w:val="24"/>
              </w:rPr>
              <w:t xml:space="preserve">Pay (P2P) </w:t>
            </w:r>
            <w:r w:rsidRPr="00093C98">
              <w:rPr>
                <w:rFonts w:cs="Arial"/>
                <w:sz w:val="24"/>
                <w:szCs w:val="24"/>
              </w:rPr>
              <w:t>process</w:t>
            </w:r>
            <w:r w:rsidR="00752B8B">
              <w:rPr>
                <w:rFonts w:cs="Arial"/>
                <w:sz w:val="24"/>
                <w:szCs w:val="24"/>
              </w:rPr>
              <w:t>es</w:t>
            </w:r>
            <w:r w:rsidRPr="00093C98">
              <w:rPr>
                <w:rFonts w:cs="Arial"/>
                <w:sz w:val="24"/>
                <w:szCs w:val="24"/>
              </w:rPr>
              <w:t xml:space="preserve"> </w:t>
            </w:r>
            <w:r w:rsidR="00752B8B">
              <w:rPr>
                <w:rFonts w:cs="Arial"/>
                <w:sz w:val="24"/>
                <w:szCs w:val="24"/>
              </w:rPr>
              <w:t>for</w:t>
            </w:r>
            <w:r w:rsidR="00E73F01">
              <w:rPr>
                <w:rFonts w:cs="Arial"/>
                <w:sz w:val="24"/>
                <w:szCs w:val="24"/>
              </w:rPr>
              <w:t xml:space="preserve"> Scottish </w:t>
            </w:r>
            <w:r>
              <w:rPr>
                <w:rFonts w:cs="Arial"/>
                <w:sz w:val="24"/>
                <w:szCs w:val="24"/>
              </w:rPr>
              <w:t xml:space="preserve">public </w:t>
            </w:r>
            <w:r w:rsidR="007814B4">
              <w:rPr>
                <w:rFonts w:cs="Arial"/>
                <w:sz w:val="24"/>
                <w:szCs w:val="24"/>
              </w:rPr>
              <w:t xml:space="preserve">bodies </w:t>
            </w:r>
            <w:r>
              <w:rPr>
                <w:rFonts w:cs="Arial"/>
                <w:sz w:val="24"/>
                <w:szCs w:val="24"/>
              </w:rPr>
              <w:t>and suppliers</w:t>
            </w:r>
            <w:r w:rsidR="00E73F01">
              <w:rPr>
                <w:rFonts w:cs="Arial"/>
                <w:sz w:val="24"/>
                <w:szCs w:val="24"/>
              </w:rPr>
              <w:t xml:space="preserve"> that are</w:t>
            </w:r>
            <w:r>
              <w:rPr>
                <w:rFonts w:cs="Arial"/>
                <w:sz w:val="24"/>
                <w:szCs w:val="24"/>
              </w:rPr>
              <w:t xml:space="preserve"> </w:t>
            </w:r>
            <w:r w:rsidRPr="00093C98">
              <w:rPr>
                <w:rFonts w:cs="Arial"/>
                <w:sz w:val="24"/>
                <w:szCs w:val="24"/>
              </w:rPr>
              <w:t>consistent with trends at national and EU le</w:t>
            </w:r>
            <w:r>
              <w:rPr>
                <w:rFonts w:cs="Arial"/>
                <w:sz w:val="24"/>
                <w:szCs w:val="24"/>
              </w:rPr>
              <w:t>vels</w:t>
            </w:r>
            <w:r w:rsidRPr="00093C98">
              <w:rPr>
                <w:rFonts w:cs="Arial"/>
                <w:sz w:val="24"/>
                <w:szCs w:val="24"/>
              </w:rPr>
              <w:t>.</w:t>
            </w:r>
          </w:p>
          <w:p w:rsidR="00093C98" w:rsidRDefault="00093C98" w:rsidP="005254D4">
            <w:pPr>
              <w:tabs>
                <w:tab w:val="left" w:pos="1440"/>
                <w:tab w:val="left" w:pos="2160"/>
                <w:tab w:val="left" w:pos="2880"/>
                <w:tab w:val="left" w:pos="4680"/>
                <w:tab w:val="left" w:pos="5400"/>
                <w:tab w:val="right" w:pos="9000"/>
              </w:tabs>
              <w:spacing w:line="240" w:lineRule="atLeast"/>
              <w:ind w:left="720"/>
              <w:jc w:val="both"/>
              <w:rPr>
                <w:rFonts w:cs="Arial"/>
                <w:sz w:val="24"/>
                <w:szCs w:val="24"/>
              </w:rPr>
            </w:pPr>
          </w:p>
          <w:p w:rsidR="0086430B" w:rsidRDefault="00752B8B" w:rsidP="005254D4">
            <w:pPr>
              <w:numPr>
                <w:ilvl w:val="0"/>
                <w:numId w:val="27"/>
              </w:num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to ensure that </w:t>
            </w:r>
            <w:r w:rsidR="00325B7F">
              <w:rPr>
                <w:rFonts w:cs="Arial"/>
                <w:sz w:val="24"/>
                <w:szCs w:val="24"/>
              </w:rPr>
              <w:t xml:space="preserve">Scottish public bodies </w:t>
            </w:r>
            <w:r w:rsidR="003607B1">
              <w:rPr>
                <w:rFonts w:cs="Arial"/>
                <w:sz w:val="24"/>
                <w:szCs w:val="24"/>
              </w:rPr>
              <w:t xml:space="preserve">are in a position to </w:t>
            </w:r>
            <w:r w:rsidR="00325B7F">
              <w:rPr>
                <w:rFonts w:cs="Arial"/>
                <w:sz w:val="24"/>
                <w:szCs w:val="24"/>
              </w:rPr>
              <w:t xml:space="preserve">automatically </w:t>
            </w:r>
            <w:r w:rsidR="003607B1">
              <w:rPr>
                <w:rFonts w:cs="Arial"/>
                <w:sz w:val="24"/>
                <w:szCs w:val="24"/>
              </w:rPr>
              <w:t>receive</w:t>
            </w:r>
            <w:r w:rsidR="00325B7F">
              <w:rPr>
                <w:rFonts w:cs="Arial"/>
                <w:sz w:val="24"/>
                <w:szCs w:val="24"/>
              </w:rPr>
              <w:t xml:space="preserve"> and process</w:t>
            </w:r>
            <w:r w:rsidR="003607B1">
              <w:rPr>
                <w:rFonts w:cs="Arial"/>
                <w:sz w:val="24"/>
                <w:szCs w:val="24"/>
              </w:rPr>
              <w:t xml:space="preserve"> eInvoices</w:t>
            </w:r>
            <w:r w:rsidR="00E435AB">
              <w:rPr>
                <w:rFonts w:cs="Arial"/>
                <w:sz w:val="24"/>
                <w:szCs w:val="24"/>
              </w:rPr>
              <w:t xml:space="preserve"> from their suppliers</w:t>
            </w:r>
            <w:r w:rsidR="007F41B7">
              <w:rPr>
                <w:rFonts w:cs="Arial"/>
                <w:sz w:val="24"/>
                <w:szCs w:val="24"/>
              </w:rPr>
              <w:t>.</w:t>
            </w:r>
            <w:r w:rsidR="00E435AB">
              <w:rPr>
                <w:rFonts w:cs="Arial"/>
                <w:sz w:val="24"/>
                <w:szCs w:val="24"/>
              </w:rPr>
              <w:t xml:space="preserve"> </w:t>
            </w:r>
            <w:r w:rsidR="003607B1">
              <w:rPr>
                <w:rFonts w:cs="Arial"/>
                <w:sz w:val="24"/>
                <w:szCs w:val="24"/>
              </w:rPr>
              <w:t>Centra</w:t>
            </w:r>
            <w:r>
              <w:rPr>
                <w:rFonts w:cs="Arial"/>
                <w:sz w:val="24"/>
                <w:szCs w:val="24"/>
              </w:rPr>
              <w:t>l</w:t>
            </w:r>
            <w:r w:rsidR="00572902">
              <w:rPr>
                <w:rFonts w:cs="Arial"/>
                <w:sz w:val="24"/>
                <w:szCs w:val="24"/>
              </w:rPr>
              <w:t xml:space="preserve"> contracting</w:t>
            </w:r>
            <w:r w:rsidR="003607B1">
              <w:rPr>
                <w:rFonts w:cs="Arial"/>
                <w:sz w:val="24"/>
                <w:szCs w:val="24"/>
              </w:rPr>
              <w:t xml:space="preserve"> </w:t>
            </w:r>
            <w:r w:rsidR="00E73F01">
              <w:rPr>
                <w:rFonts w:cs="Arial"/>
                <w:sz w:val="24"/>
                <w:szCs w:val="24"/>
              </w:rPr>
              <w:t xml:space="preserve"> authorities (that are named in Schedule 1 of the Public Contract (Scotland) Regulations 2015) </w:t>
            </w:r>
            <w:r w:rsidR="00E435AB">
              <w:rPr>
                <w:rFonts w:cs="Arial"/>
                <w:sz w:val="24"/>
                <w:szCs w:val="24"/>
              </w:rPr>
              <w:t xml:space="preserve">must comply </w:t>
            </w:r>
            <w:r w:rsidR="00E73F01">
              <w:rPr>
                <w:rFonts w:cs="Arial"/>
                <w:sz w:val="24"/>
                <w:szCs w:val="24"/>
              </w:rPr>
              <w:t>with the Directive no later than</w:t>
            </w:r>
            <w:r w:rsidR="000828BE">
              <w:rPr>
                <w:rFonts w:cs="Arial"/>
                <w:sz w:val="24"/>
                <w:szCs w:val="24"/>
              </w:rPr>
              <w:t xml:space="preserve"> 1</w:t>
            </w:r>
            <w:r w:rsidR="0043520A">
              <w:rPr>
                <w:rFonts w:cs="Arial"/>
                <w:sz w:val="24"/>
                <w:szCs w:val="24"/>
              </w:rPr>
              <w:t>8</w:t>
            </w:r>
            <w:r w:rsidR="000828BE">
              <w:rPr>
                <w:rFonts w:cs="Arial"/>
                <w:sz w:val="24"/>
                <w:szCs w:val="24"/>
              </w:rPr>
              <w:t xml:space="preserve"> April 2019</w:t>
            </w:r>
            <w:r w:rsidR="00E435AB">
              <w:rPr>
                <w:rFonts w:cs="Arial"/>
                <w:sz w:val="24"/>
                <w:szCs w:val="24"/>
              </w:rPr>
              <w:t xml:space="preserve">. </w:t>
            </w:r>
            <w:r w:rsidR="00E73F01">
              <w:rPr>
                <w:rFonts w:cs="Arial"/>
                <w:sz w:val="24"/>
                <w:szCs w:val="24"/>
              </w:rPr>
              <w:t xml:space="preserve"> </w:t>
            </w:r>
            <w:r>
              <w:rPr>
                <w:rFonts w:cs="Arial"/>
                <w:sz w:val="24"/>
                <w:szCs w:val="24"/>
              </w:rPr>
              <w:t xml:space="preserve">All other </w:t>
            </w:r>
            <w:r w:rsidR="00325B7F">
              <w:rPr>
                <w:rFonts w:cs="Arial"/>
                <w:sz w:val="24"/>
                <w:szCs w:val="24"/>
              </w:rPr>
              <w:t xml:space="preserve">sub-central contracting authorities </w:t>
            </w:r>
            <w:r w:rsidR="00B7354D">
              <w:rPr>
                <w:rFonts w:cs="Arial"/>
                <w:sz w:val="24"/>
                <w:szCs w:val="24"/>
              </w:rPr>
              <w:t xml:space="preserve">may </w:t>
            </w:r>
            <w:r w:rsidR="00404152">
              <w:rPr>
                <w:rFonts w:cs="Arial"/>
                <w:sz w:val="24"/>
                <w:szCs w:val="24"/>
              </w:rPr>
              <w:t>have a further twelve months</w:t>
            </w:r>
            <w:r>
              <w:rPr>
                <w:rFonts w:cs="Arial"/>
                <w:sz w:val="24"/>
                <w:szCs w:val="24"/>
              </w:rPr>
              <w:t xml:space="preserve"> to </w:t>
            </w:r>
            <w:r w:rsidR="00BB61FF">
              <w:rPr>
                <w:rFonts w:cs="Arial"/>
                <w:sz w:val="24"/>
                <w:szCs w:val="24"/>
              </w:rPr>
              <w:t>comply</w:t>
            </w:r>
            <w:r w:rsidR="00E73F01">
              <w:rPr>
                <w:rFonts w:cs="Arial"/>
                <w:sz w:val="24"/>
                <w:szCs w:val="24"/>
              </w:rPr>
              <w:t xml:space="preserve"> with the Directive (no later than </w:t>
            </w:r>
            <w:r w:rsidR="000828BE">
              <w:rPr>
                <w:rFonts w:cs="Arial"/>
                <w:sz w:val="24"/>
                <w:szCs w:val="24"/>
              </w:rPr>
              <w:t>- 1</w:t>
            </w:r>
            <w:r w:rsidR="0043520A">
              <w:rPr>
                <w:rFonts w:cs="Arial"/>
                <w:sz w:val="24"/>
                <w:szCs w:val="24"/>
              </w:rPr>
              <w:t>8</w:t>
            </w:r>
            <w:r w:rsidR="000828BE">
              <w:rPr>
                <w:rFonts w:cs="Arial"/>
                <w:sz w:val="24"/>
                <w:szCs w:val="24"/>
              </w:rPr>
              <w:t xml:space="preserve"> April 2020</w:t>
            </w:r>
            <w:r w:rsidR="00E73F01">
              <w:rPr>
                <w:rFonts w:cs="Arial"/>
                <w:sz w:val="24"/>
                <w:szCs w:val="24"/>
              </w:rPr>
              <w:t>)</w:t>
            </w:r>
            <w:r w:rsidR="00BB61FF">
              <w:rPr>
                <w:rFonts w:cs="Arial"/>
                <w:sz w:val="24"/>
                <w:szCs w:val="24"/>
              </w:rPr>
              <w:t>.</w:t>
            </w:r>
          </w:p>
          <w:p w:rsidR="0086430B" w:rsidRDefault="0086430B"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p>
          <w:p w:rsidR="009673C4" w:rsidRPr="0086430B" w:rsidRDefault="009673C4"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r w:rsidRPr="0086430B">
              <w:rPr>
                <w:rFonts w:cs="Arial"/>
                <w:b/>
                <w:sz w:val="24"/>
                <w:szCs w:val="24"/>
              </w:rPr>
              <w:t>Background</w:t>
            </w:r>
            <w:r w:rsidR="0086430B">
              <w:rPr>
                <w:rFonts w:cs="Arial"/>
                <w:b/>
                <w:sz w:val="24"/>
                <w:szCs w:val="24"/>
              </w:rPr>
              <w:t>:</w:t>
            </w:r>
          </w:p>
          <w:p w:rsidR="00BB61FF" w:rsidRDefault="00BB61FF" w:rsidP="005254D4">
            <w:pPr>
              <w:tabs>
                <w:tab w:val="left" w:pos="2160"/>
                <w:tab w:val="left" w:pos="2880"/>
                <w:tab w:val="left" w:pos="4680"/>
                <w:tab w:val="left" w:pos="5400"/>
                <w:tab w:val="right" w:pos="9000"/>
              </w:tabs>
              <w:spacing w:line="240" w:lineRule="atLeast"/>
              <w:jc w:val="both"/>
              <w:rPr>
                <w:rFonts w:cs="Arial"/>
                <w:sz w:val="24"/>
                <w:szCs w:val="24"/>
              </w:rPr>
            </w:pPr>
          </w:p>
          <w:p w:rsidR="005319E5" w:rsidRDefault="00E320D2" w:rsidP="005254D4">
            <w:pPr>
              <w:tabs>
                <w:tab w:val="left" w:pos="2160"/>
                <w:tab w:val="left" w:pos="2880"/>
                <w:tab w:val="left" w:pos="4680"/>
                <w:tab w:val="left" w:pos="5400"/>
                <w:tab w:val="right" w:pos="9000"/>
              </w:tabs>
              <w:spacing w:line="240" w:lineRule="atLeast"/>
              <w:jc w:val="both"/>
              <w:rPr>
                <w:rFonts w:cs="Arial"/>
                <w:sz w:val="24"/>
                <w:szCs w:val="24"/>
              </w:rPr>
            </w:pPr>
            <w:r w:rsidRPr="00B354D4">
              <w:rPr>
                <w:rFonts w:cs="Arial"/>
                <w:sz w:val="24"/>
                <w:szCs w:val="24"/>
              </w:rPr>
              <w:t xml:space="preserve">The purpose of this document is to provide a </w:t>
            </w:r>
            <w:r w:rsidR="00B7354D">
              <w:rPr>
                <w:rFonts w:cs="Arial"/>
                <w:sz w:val="24"/>
                <w:szCs w:val="24"/>
              </w:rPr>
              <w:t>partial</w:t>
            </w:r>
            <w:r w:rsidRPr="00B354D4">
              <w:rPr>
                <w:rFonts w:cs="Arial"/>
                <w:sz w:val="24"/>
                <w:szCs w:val="24"/>
              </w:rPr>
              <w:t xml:space="preserve"> </w:t>
            </w:r>
            <w:r w:rsidRPr="00B354D4">
              <w:rPr>
                <w:rFonts w:cs="Arial"/>
                <w:b/>
                <w:sz w:val="24"/>
                <w:szCs w:val="24"/>
              </w:rPr>
              <w:t>Business and Regulatory Impact Assessment (BRIA)</w:t>
            </w:r>
            <w:r>
              <w:rPr>
                <w:rFonts w:cs="Arial"/>
                <w:sz w:val="24"/>
                <w:szCs w:val="24"/>
              </w:rPr>
              <w:t xml:space="preserve"> </w:t>
            </w:r>
            <w:r w:rsidR="0080007D">
              <w:rPr>
                <w:rFonts w:cs="Arial"/>
                <w:sz w:val="24"/>
                <w:szCs w:val="24"/>
              </w:rPr>
              <w:t>describing</w:t>
            </w:r>
            <w:r w:rsidR="00F451CD">
              <w:rPr>
                <w:rFonts w:cs="Arial"/>
                <w:sz w:val="24"/>
                <w:szCs w:val="24"/>
              </w:rPr>
              <w:t xml:space="preserve"> the</w:t>
            </w:r>
            <w:r>
              <w:rPr>
                <w:rFonts w:cs="Arial"/>
                <w:sz w:val="24"/>
                <w:szCs w:val="24"/>
              </w:rPr>
              <w:t xml:space="preserve"> </w:t>
            </w:r>
            <w:r w:rsidR="00E73F01">
              <w:rPr>
                <w:rFonts w:cs="Arial"/>
                <w:sz w:val="24"/>
                <w:szCs w:val="24"/>
              </w:rPr>
              <w:t>change being introduced by the EU eInvoicing Directive.</w:t>
            </w:r>
            <w:r w:rsidR="005319E5" w:rsidRPr="00F53221">
              <w:rPr>
                <w:rFonts w:cs="Arial"/>
                <w:sz w:val="24"/>
                <w:szCs w:val="24"/>
              </w:rPr>
              <w:t xml:space="preserve"> </w:t>
            </w:r>
          </w:p>
          <w:p w:rsidR="00B354D4" w:rsidRDefault="00B354D4" w:rsidP="005254D4">
            <w:pPr>
              <w:tabs>
                <w:tab w:val="left" w:pos="2160"/>
                <w:tab w:val="left" w:pos="2880"/>
                <w:tab w:val="left" w:pos="4680"/>
                <w:tab w:val="left" w:pos="5400"/>
                <w:tab w:val="right" w:pos="9000"/>
              </w:tabs>
              <w:spacing w:line="240" w:lineRule="atLeast"/>
              <w:jc w:val="both"/>
              <w:rPr>
                <w:rFonts w:cs="Arial"/>
                <w:sz w:val="24"/>
                <w:szCs w:val="24"/>
              </w:rPr>
            </w:pPr>
          </w:p>
          <w:p w:rsidR="00C60B1D" w:rsidRDefault="00B354D4" w:rsidP="005254D4">
            <w:pPr>
              <w:tabs>
                <w:tab w:val="left" w:pos="709"/>
                <w:tab w:val="left" w:pos="1440"/>
                <w:tab w:val="left" w:pos="2160"/>
                <w:tab w:val="left" w:pos="2880"/>
                <w:tab w:val="left" w:pos="4680"/>
                <w:tab w:val="left" w:pos="5400"/>
                <w:tab w:val="right" w:pos="9000"/>
              </w:tabs>
              <w:spacing w:line="240" w:lineRule="atLeast"/>
              <w:contextualSpacing/>
              <w:jc w:val="both"/>
              <w:rPr>
                <w:rFonts w:cs="Arial"/>
                <w:sz w:val="24"/>
                <w:szCs w:val="24"/>
              </w:rPr>
            </w:pPr>
            <w:r>
              <w:rPr>
                <w:rFonts w:cs="Arial"/>
                <w:sz w:val="24"/>
                <w:szCs w:val="24"/>
              </w:rPr>
              <w:t>Th</w:t>
            </w:r>
            <w:r w:rsidR="00091989">
              <w:rPr>
                <w:rFonts w:cs="Arial"/>
                <w:sz w:val="24"/>
                <w:szCs w:val="24"/>
              </w:rPr>
              <w:t>e</w:t>
            </w:r>
            <w:r>
              <w:rPr>
                <w:rFonts w:cs="Arial"/>
                <w:sz w:val="24"/>
                <w:szCs w:val="24"/>
              </w:rPr>
              <w:t xml:space="preserve"> </w:t>
            </w:r>
            <w:r w:rsidR="00197F72">
              <w:rPr>
                <w:rFonts w:cs="Arial"/>
                <w:b/>
                <w:sz w:val="24"/>
                <w:szCs w:val="24"/>
              </w:rPr>
              <w:t>E</w:t>
            </w:r>
            <w:r w:rsidRPr="00F451CD">
              <w:rPr>
                <w:rFonts w:cs="Arial"/>
                <w:b/>
                <w:sz w:val="24"/>
                <w:szCs w:val="24"/>
              </w:rPr>
              <w:t xml:space="preserve">uropean </w:t>
            </w:r>
            <w:r w:rsidR="00091989" w:rsidRPr="000F62D0">
              <w:rPr>
                <w:rFonts w:cs="Arial"/>
                <w:b/>
                <w:sz w:val="24"/>
                <w:szCs w:val="24"/>
              </w:rPr>
              <w:t>Directive 2014/55/EU on Electronic Invoicing in Public Procurement</w:t>
            </w:r>
            <w:r w:rsidRPr="00B354D4">
              <w:rPr>
                <w:rFonts w:cs="Arial"/>
                <w:sz w:val="24"/>
                <w:szCs w:val="24"/>
              </w:rPr>
              <w:t xml:space="preserve"> </w:t>
            </w:r>
            <w:r>
              <w:rPr>
                <w:rFonts w:cs="Arial"/>
                <w:sz w:val="24"/>
                <w:szCs w:val="24"/>
              </w:rPr>
              <w:t xml:space="preserve">was published </w:t>
            </w:r>
            <w:r w:rsidRPr="00B354D4">
              <w:rPr>
                <w:rFonts w:cs="Arial"/>
                <w:sz w:val="24"/>
                <w:szCs w:val="24"/>
              </w:rPr>
              <w:t>in the Official Jou</w:t>
            </w:r>
            <w:r>
              <w:rPr>
                <w:rFonts w:cs="Arial"/>
                <w:sz w:val="24"/>
                <w:szCs w:val="24"/>
              </w:rPr>
              <w:t>rnal of the European Union</w:t>
            </w:r>
            <w:r w:rsidR="00F451CD">
              <w:rPr>
                <w:rFonts w:cs="Arial"/>
                <w:sz w:val="24"/>
                <w:szCs w:val="24"/>
              </w:rPr>
              <w:t xml:space="preserve"> (OJEU)</w:t>
            </w:r>
            <w:r>
              <w:rPr>
                <w:rFonts w:cs="Arial"/>
                <w:sz w:val="24"/>
                <w:szCs w:val="24"/>
              </w:rPr>
              <w:t xml:space="preserve"> on 26 May</w:t>
            </w:r>
            <w:r w:rsidRPr="00B354D4">
              <w:rPr>
                <w:rFonts w:cs="Arial"/>
                <w:sz w:val="24"/>
                <w:szCs w:val="24"/>
              </w:rPr>
              <w:t xml:space="preserve"> 2014</w:t>
            </w:r>
            <w:r w:rsidR="007C1895">
              <w:rPr>
                <w:rFonts w:cs="Arial"/>
                <w:sz w:val="24"/>
                <w:szCs w:val="24"/>
              </w:rPr>
              <w:t xml:space="preserve"> and </w:t>
            </w:r>
            <w:r w:rsidR="00091989" w:rsidRPr="007F41B7">
              <w:rPr>
                <w:rFonts w:cs="Arial"/>
                <w:sz w:val="24"/>
                <w:szCs w:val="24"/>
              </w:rPr>
              <w:t>will</w:t>
            </w:r>
            <w:r w:rsidRPr="00B354D4">
              <w:rPr>
                <w:rFonts w:cs="Arial"/>
                <w:sz w:val="24"/>
                <w:szCs w:val="24"/>
              </w:rPr>
              <w:t xml:space="preserve"> be implemented </w:t>
            </w:r>
            <w:r w:rsidR="00C60B1D" w:rsidRPr="00093C98">
              <w:rPr>
                <w:rFonts w:cs="Arial"/>
                <w:sz w:val="24"/>
                <w:szCs w:val="24"/>
              </w:rPr>
              <w:t xml:space="preserve">through </w:t>
            </w:r>
            <w:r w:rsidR="00C60B1D">
              <w:rPr>
                <w:rFonts w:cs="Arial"/>
                <w:sz w:val="24"/>
                <w:szCs w:val="24"/>
              </w:rPr>
              <w:t xml:space="preserve">amendment to the Public Contracts </w:t>
            </w:r>
            <w:r w:rsidR="008C4FCF">
              <w:rPr>
                <w:rFonts w:cs="Arial"/>
                <w:sz w:val="24"/>
                <w:szCs w:val="24"/>
              </w:rPr>
              <w:t xml:space="preserve">(Scotland) </w:t>
            </w:r>
            <w:r w:rsidR="00C60B1D">
              <w:rPr>
                <w:rFonts w:cs="Arial"/>
                <w:sz w:val="24"/>
                <w:szCs w:val="24"/>
              </w:rPr>
              <w:t>Regulations 2015</w:t>
            </w:r>
            <w:r w:rsidR="008C4FCF">
              <w:rPr>
                <w:rFonts w:cs="Arial"/>
                <w:sz w:val="24"/>
                <w:szCs w:val="24"/>
              </w:rPr>
              <w:t>.</w:t>
            </w:r>
          </w:p>
          <w:p w:rsidR="00404152" w:rsidRDefault="00404152" w:rsidP="005254D4">
            <w:pPr>
              <w:tabs>
                <w:tab w:val="left" w:pos="720"/>
                <w:tab w:val="left" w:pos="1440"/>
                <w:tab w:val="left" w:pos="2160"/>
                <w:tab w:val="left" w:pos="2880"/>
                <w:tab w:val="left" w:pos="4680"/>
                <w:tab w:val="left" w:pos="5400"/>
                <w:tab w:val="right" w:pos="9000"/>
              </w:tabs>
              <w:spacing w:line="240" w:lineRule="atLeast"/>
              <w:contextualSpacing/>
              <w:jc w:val="both"/>
              <w:rPr>
                <w:rFonts w:cs="Arial"/>
                <w:sz w:val="24"/>
                <w:szCs w:val="24"/>
              </w:rPr>
            </w:pPr>
          </w:p>
          <w:p w:rsidR="00B354D4" w:rsidRDefault="00B354D4" w:rsidP="005254D4">
            <w:pPr>
              <w:tabs>
                <w:tab w:val="left" w:pos="720"/>
                <w:tab w:val="left" w:pos="1440"/>
                <w:tab w:val="left" w:pos="2160"/>
                <w:tab w:val="left" w:pos="2880"/>
                <w:tab w:val="left" w:pos="4680"/>
                <w:tab w:val="left" w:pos="5400"/>
                <w:tab w:val="right" w:pos="9000"/>
              </w:tabs>
              <w:spacing w:line="240" w:lineRule="atLeast"/>
              <w:contextualSpacing/>
              <w:jc w:val="both"/>
              <w:rPr>
                <w:rFonts w:cs="Arial"/>
                <w:sz w:val="24"/>
                <w:szCs w:val="24"/>
              </w:rPr>
            </w:pPr>
            <w:r w:rsidRPr="00B354D4">
              <w:rPr>
                <w:rFonts w:cs="Arial"/>
                <w:sz w:val="24"/>
                <w:szCs w:val="24"/>
              </w:rPr>
              <w:t>The overall</w:t>
            </w:r>
            <w:r w:rsidR="007F262D">
              <w:rPr>
                <w:rFonts w:cs="Arial"/>
                <w:sz w:val="24"/>
                <w:szCs w:val="24"/>
              </w:rPr>
              <w:t xml:space="preserve"> rationale for this change</w:t>
            </w:r>
            <w:r w:rsidRPr="00B354D4">
              <w:rPr>
                <w:rFonts w:cs="Arial"/>
                <w:sz w:val="24"/>
                <w:szCs w:val="24"/>
              </w:rPr>
              <w:t xml:space="preserve"> is positive.  The aim is to </w:t>
            </w:r>
            <w:r w:rsidR="009819E9">
              <w:rPr>
                <w:rFonts w:cs="Arial"/>
                <w:sz w:val="24"/>
                <w:szCs w:val="24"/>
              </w:rPr>
              <w:t xml:space="preserve">further </w:t>
            </w:r>
            <w:r w:rsidRPr="00B354D4">
              <w:rPr>
                <w:rFonts w:cs="Arial"/>
                <w:sz w:val="24"/>
                <w:szCs w:val="24"/>
              </w:rPr>
              <w:t xml:space="preserve">simplify </w:t>
            </w:r>
            <w:r w:rsidR="009819E9">
              <w:rPr>
                <w:rFonts w:cs="Arial"/>
                <w:sz w:val="24"/>
                <w:szCs w:val="24"/>
              </w:rPr>
              <w:t xml:space="preserve">and streamline </w:t>
            </w:r>
            <w:r w:rsidR="007C1895">
              <w:rPr>
                <w:rFonts w:cs="Arial"/>
                <w:sz w:val="24"/>
                <w:szCs w:val="24"/>
              </w:rPr>
              <w:t xml:space="preserve">P2P </w:t>
            </w:r>
            <w:r w:rsidR="009819E9">
              <w:rPr>
                <w:rFonts w:cs="Arial"/>
                <w:sz w:val="24"/>
                <w:szCs w:val="24"/>
              </w:rPr>
              <w:t>process</w:t>
            </w:r>
            <w:r w:rsidR="007C1895">
              <w:rPr>
                <w:rFonts w:cs="Arial"/>
                <w:sz w:val="24"/>
                <w:szCs w:val="24"/>
              </w:rPr>
              <w:t>es</w:t>
            </w:r>
            <w:r w:rsidR="009819E9">
              <w:rPr>
                <w:rFonts w:cs="Arial"/>
                <w:sz w:val="24"/>
                <w:szCs w:val="24"/>
              </w:rPr>
              <w:t xml:space="preserve"> </w:t>
            </w:r>
            <w:r w:rsidR="007F262D">
              <w:rPr>
                <w:rFonts w:cs="Arial"/>
                <w:sz w:val="24"/>
                <w:szCs w:val="24"/>
              </w:rPr>
              <w:t xml:space="preserve">and reduce costs for both </w:t>
            </w:r>
            <w:r w:rsidR="00D02B7A">
              <w:rPr>
                <w:rFonts w:cs="Arial"/>
                <w:sz w:val="24"/>
                <w:szCs w:val="24"/>
              </w:rPr>
              <w:t xml:space="preserve">public bodies </w:t>
            </w:r>
            <w:r w:rsidR="007F262D">
              <w:rPr>
                <w:rFonts w:cs="Arial"/>
                <w:sz w:val="24"/>
                <w:szCs w:val="24"/>
              </w:rPr>
              <w:t>and</w:t>
            </w:r>
            <w:r w:rsidR="009819E9">
              <w:rPr>
                <w:rFonts w:cs="Arial"/>
                <w:sz w:val="24"/>
                <w:szCs w:val="24"/>
              </w:rPr>
              <w:t xml:space="preserve"> suppliers </w:t>
            </w:r>
            <w:r w:rsidR="008C4FCF">
              <w:rPr>
                <w:rFonts w:cs="Arial"/>
                <w:sz w:val="24"/>
                <w:szCs w:val="24"/>
              </w:rPr>
              <w:t>through</w:t>
            </w:r>
            <w:r w:rsidR="009819E9">
              <w:rPr>
                <w:rFonts w:cs="Arial"/>
                <w:sz w:val="24"/>
                <w:szCs w:val="24"/>
              </w:rPr>
              <w:t xml:space="preserve"> improving </w:t>
            </w:r>
            <w:r w:rsidR="007C1895">
              <w:rPr>
                <w:rFonts w:cs="Arial"/>
                <w:sz w:val="24"/>
                <w:szCs w:val="24"/>
              </w:rPr>
              <w:t xml:space="preserve">the </w:t>
            </w:r>
            <w:r w:rsidR="009819E9">
              <w:rPr>
                <w:rFonts w:cs="Arial"/>
                <w:sz w:val="24"/>
                <w:szCs w:val="24"/>
              </w:rPr>
              <w:t>process</w:t>
            </w:r>
            <w:r w:rsidR="007F262D">
              <w:rPr>
                <w:rFonts w:cs="Arial"/>
                <w:sz w:val="24"/>
                <w:szCs w:val="24"/>
              </w:rPr>
              <w:t>ing</w:t>
            </w:r>
            <w:r w:rsidR="009819E9">
              <w:rPr>
                <w:rFonts w:cs="Arial"/>
                <w:sz w:val="24"/>
                <w:szCs w:val="24"/>
              </w:rPr>
              <w:t xml:space="preserve"> </w:t>
            </w:r>
            <w:r w:rsidR="007C1895">
              <w:rPr>
                <w:rFonts w:cs="Arial"/>
                <w:sz w:val="24"/>
                <w:szCs w:val="24"/>
              </w:rPr>
              <w:t xml:space="preserve">and payment </w:t>
            </w:r>
            <w:r w:rsidR="007F262D">
              <w:rPr>
                <w:rFonts w:cs="Arial"/>
                <w:sz w:val="24"/>
                <w:szCs w:val="24"/>
              </w:rPr>
              <w:t>of invoices</w:t>
            </w:r>
            <w:r w:rsidR="009819E9">
              <w:rPr>
                <w:rFonts w:cs="Arial"/>
                <w:sz w:val="24"/>
                <w:szCs w:val="24"/>
              </w:rPr>
              <w:t xml:space="preserve">. </w:t>
            </w:r>
          </w:p>
          <w:p w:rsidR="009819E9" w:rsidRPr="00B354D4" w:rsidRDefault="009819E9" w:rsidP="005254D4">
            <w:pPr>
              <w:tabs>
                <w:tab w:val="left" w:pos="720"/>
                <w:tab w:val="left" w:pos="1440"/>
                <w:tab w:val="left" w:pos="2160"/>
                <w:tab w:val="left" w:pos="2880"/>
                <w:tab w:val="left" w:pos="4680"/>
                <w:tab w:val="left" w:pos="5400"/>
                <w:tab w:val="right" w:pos="9000"/>
              </w:tabs>
              <w:spacing w:line="240" w:lineRule="atLeast"/>
              <w:contextualSpacing/>
              <w:jc w:val="both"/>
              <w:rPr>
                <w:rFonts w:cs="Arial"/>
                <w:sz w:val="24"/>
                <w:szCs w:val="24"/>
              </w:rPr>
            </w:pPr>
          </w:p>
          <w:p w:rsidR="008E1F01" w:rsidRDefault="00E435AB" w:rsidP="005254D4">
            <w:pPr>
              <w:tabs>
                <w:tab w:val="left" w:pos="2160"/>
                <w:tab w:val="left" w:pos="2880"/>
                <w:tab w:val="left" w:pos="4680"/>
                <w:tab w:val="left" w:pos="5400"/>
                <w:tab w:val="right" w:pos="9000"/>
              </w:tabs>
              <w:spacing w:line="240" w:lineRule="atLeast"/>
              <w:jc w:val="both"/>
              <w:rPr>
                <w:sz w:val="24"/>
                <w:szCs w:val="24"/>
              </w:rPr>
            </w:pPr>
            <w:r>
              <w:rPr>
                <w:sz w:val="24"/>
                <w:szCs w:val="24"/>
              </w:rPr>
              <w:t>T</w:t>
            </w:r>
            <w:r w:rsidR="004772C9">
              <w:rPr>
                <w:sz w:val="24"/>
                <w:szCs w:val="24"/>
              </w:rPr>
              <w:t>h</w:t>
            </w:r>
            <w:r w:rsidR="00091989">
              <w:rPr>
                <w:sz w:val="24"/>
                <w:szCs w:val="24"/>
              </w:rPr>
              <w:t>e</w:t>
            </w:r>
            <w:r w:rsidR="004772C9">
              <w:rPr>
                <w:sz w:val="24"/>
                <w:szCs w:val="24"/>
              </w:rPr>
              <w:t xml:space="preserve"> </w:t>
            </w:r>
            <w:r w:rsidR="00404152" w:rsidRPr="0038240D">
              <w:rPr>
                <w:sz w:val="24"/>
                <w:szCs w:val="24"/>
              </w:rPr>
              <w:t>change</w:t>
            </w:r>
            <w:r w:rsidR="007F262D">
              <w:rPr>
                <w:sz w:val="24"/>
                <w:szCs w:val="24"/>
              </w:rPr>
              <w:t xml:space="preserve"> applies to contracts </w:t>
            </w:r>
            <w:r w:rsidR="00953938">
              <w:rPr>
                <w:sz w:val="24"/>
                <w:szCs w:val="24"/>
              </w:rPr>
              <w:t xml:space="preserve">that are regulated by the European Public Procurement Regulations and which are </w:t>
            </w:r>
            <w:r w:rsidR="00F451CD">
              <w:rPr>
                <w:sz w:val="24"/>
                <w:szCs w:val="24"/>
              </w:rPr>
              <w:t xml:space="preserve">advertised in </w:t>
            </w:r>
            <w:r w:rsidR="00953938">
              <w:rPr>
                <w:sz w:val="24"/>
                <w:szCs w:val="24"/>
              </w:rPr>
              <w:t xml:space="preserve">the </w:t>
            </w:r>
            <w:r w:rsidR="00F451CD">
              <w:rPr>
                <w:sz w:val="24"/>
                <w:szCs w:val="24"/>
              </w:rPr>
              <w:t>O</w:t>
            </w:r>
            <w:r w:rsidR="00953938">
              <w:rPr>
                <w:sz w:val="24"/>
                <w:szCs w:val="24"/>
              </w:rPr>
              <w:t xml:space="preserve">fficial </w:t>
            </w:r>
            <w:r w:rsidR="00F451CD">
              <w:rPr>
                <w:sz w:val="24"/>
                <w:szCs w:val="24"/>
              </w:rPr>
              <w:t>J</w:t>
            </w:r>
            <w:r w:rsidR="00953938">
              <w:rPr>
                <w:sz w:val="24"/>
                <w:szCs w:val="24"/>
              </w:rPr>
              <w:t xml:space="preserve">ournal of the </w:t>
            </w:r>
            <w:r w:rsidR="00F451CD">
              <w:rPr>
                <w:sz w:val="24"/>
                <w:szCs w:val="24"/>
              </w:rPr>
              <w:t>E</w:t>
            </w:r>
            <w:r w:rsidR="00953938">
              <w:rPr>
                <w:sz w:val="24"/>
                <w:szCs w:val="24"/>
              </w:rPr>
              <w:t xml:space="preserve">uropean </w:t>
            </w:r>
            <w:r w:rsidR="00F451CD">
              <w:rPr>
                <w:sz w:val="24"/>
                <w:szCs w:val="24"/>
              </w:rPr>
              <w:t>U</w:t>
            </w:r>
            <w:r w:rsidR="00953938">
              <w:rPr>
                <w:sz w:val="24"/>
                <w:szCs w:val="24"/>
              </w:rPr>
              <w:t>nion (OJEU)</w:t>
            </w:r>
            <w:r w:rsidR="00091989">
              <w:rPr>
                <w:sz w:val="24"/>
                <w:szCs w:val="24"/>
              </w:rPr>
              <w:t>.</w:t>
            </w:r>
            <w:r w:rsidR="008C4FCF">
              <w:rPr>
                <w:sz w:val="24"/>
                <w:szCs w:val="24"/>
              </w:rPr>
              <w:t xml:space="preserve"> </w:t>
            </w:r>
            <w:r w:rsidR="00091989">
              <w:rPr>
                <w:sz w:val="24"/>
                <w:szCs w:val="24"/>
              </w:rPr>
              <w:t xml:space="preserve"> </w:t>
            </w:r>
            <w:r w:rsidR="004772C9">
              <w:rPr>
                <w:sz w:val="24"/>
                <w:szCs w:val="24"/>
              </w:rPr>
              <w:t>However</w:t>
            </w:r>
            <w:r w:rsidR="00091989">
              <w:rPr>
                <w:sz w:val="24"/>
                <w:szCs w:val="24"/>
              </w:rPr>
              <w:t>,</w:t>
            </w:r>
            <w:r w:rsidR="004772C9">
              <w:rPr>
                <w:sz w:val="24"/>
                <w:szCs w:val="24"/>
              </w:rPr>
              <w:t xml:space="preserve"> it is widely recognised that eInvoicing is an efficient and time saving process for both</w:t>
            </w:r>
            <w:r w:rsidR="00F0725A">
              <w:rPr>
                <w:sz w:val="24"/>
                <w:szCs w:val="24"/>
              </w:rPr>
              <w:t xml:space="preserve"> </w:t>
            </w:r>
            <w:r w:rsidR="00D02B7A">
              <w:rPr>
                <w:sz w:val="24"/>
                <w:szCs w:val="24"/>
              </w:rPr>
              <w:t xml:space="preserve">public bodies </w:t>
            </w:r>
            <w:r w:rsidR="004772C9">
              <w:rPr>
                <w:sz w:val="24"/>
                <w:szCs w:val="24"/>
              </w:rPr>
              <w:t>and suppliers</w:t>
            </w:r>
            <w:r w:rsidR="0080007D">
              <w:rPr>
                <w:sz w:val="24"/>
                <w:szCs w:val="24"/>
              </w:rPr>
              <w:t>, t</w:t>
            </w:r>
            <w:r w:rsidR="00D76763">
              <w:rPr>
                <w:sz w:val="24"/>
                <w:szCs w:val="24"/>
              </w:rPr>
              <w:t>herefore</w:t>
            </w:r>
            <w:r w:rsidR="004772C9">
              <w:rPr>
                <w:sz w:val="24"/>
                <w:szCs w:val="24"/>
              </w:rPr>
              <w:t xml:space="preserve"> where deemed appropriate and ben</w:t>
            </w:r>
            <w:r w:rsidR="008C4FCF">
              <w:rPr>
                <w:sz w:val="24"/>
                <w:szCs w:val="24"/>
              </w:rPr>
              <w:t>efits have been identified, non-</w:t>
            </w:r>
            <w:r w:rsidR="004772C9">
              <w:rPr>
                <w:sz w:val="24"/>
                <w:szCs w:val="24"/>
              </w:rPr>
              <w:t xml:space="preserve">OJEU </w:t>
            </w:r>
            <w:r w:rsidR="009D47A8">
              <w:rPr>
                <w:sz w:val="24"/>
                <w:szCs w:val="24"/>
              </w:rPr>
              <w:t xml:space="preserve">contracts and their incumbent suppliers will have the opportunity to send </w:t>
            </w:r>
            <w:r w:rsidR="00D76763">
              <w:rPr>
                <w:sz w:val="24"/>
                <w:szCs w:val="24"/>
              </w:rPr>
              <w:t>eInvoices</w:t>
            </w:r>
            <w:r w:rsidR="009D47A8">
              <w:rPr>
                <w:sz w:val="24"/>
                <w:szCs w:val="24"/>
              </w:rPr>
              <w:t xml:space="preserve">.  </w:t>
            </w:r>
          </w:p>
          <w:p w:rsidR="00B354D4" w:rsidRPr="0038240D" w:rsidRDefault="00B354D4" w:rsidP="005254D4">
            <w:pPr>
              <w:tabs>
                <w:tab w:val="left" w:pos="2160"/>
                <w:tab w:val="left" w:pos="2880"/>
                <w:tab w:val="left" w:pos="4680"/>
                <w:tab w:val="left" w:pos="5400"/>
                <w:tab w:val="right" w:pos="9000"/>
              </w:tabs>
              <w:spacing w:line="240" w:lineRule="atLeast"/>
              <w:jc w:val="both"/>
              <w:rPr>
                <w:sz w:val="24"/>
                <w:szCs w:val="24"/>
              </w:rPr>
            </w:pPr>
            <w:r w:rsidRPr="0038240D">
              <w:rPr>
                <w:sz w:val="24"/>
                <w:szCs w:val="24"/>
              </w:rPr>
              <w:t xml:space="preserve"> </w:t>
            </w:r>
          </w:p>
          <w:p w:rsidR="00BA47B6" w:rsidRDefault="00D5042D"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sidRPr="0038240D">
              <w:rPr>
                <w:rFonts w:cs="Arial"/>
                <w:sz w:val="24"/>
                <w:szCs w:val="24"/>
              </w:rPr>
              <w:lastRenderedPageBreak/>
              <w:t xml:space="preserve">There are </w:t>
            </w:r>
            <w:r>
              <w:rPr>
                <w:rFonts w:cs="Arial"/>
                <w:sz w:val="24"/>
                <w:szCs w:val="24"/>
              </w:rPr>
              <w:t xml:space="preserve">no </w:t>
            </w:r>
            <w:r w:rsidRPr="0038240D">
              <w:rPr>
                <w:rFonts w:cs="Arial"/>
                <w:sz w:val="24"/>
                <w:szCs w:val="24"/>
              </w:rPr>
              <w:t>optional elements</w:t>
            </w:r>
            <w:r>
              <w:rPr>
                <w:rFonts w:cs="Arial"/>
                <w:sz w:val="24"/>
                <w:szCs w:val="24"/>
              </w:rPr>
              <w:t xml:space="preserve"> available</w:t>
            </w:r>
            <w:r w:rsidR="00953938">
              <w:rPr>
                <w:rFonts w:cs="Arial"/>
                <w:sz w:val="24"/>
                <w:szCs w:val="24"/>
              </w:rPr>
              <w:t xml:space="preserve"> under this Directive. While the specific nature of Brexit arrangements may impact on obligations to implement this Directive, the Scottish Government is consulting on its implementation based </w:t>
            </w:r>
            <w:r w:rsidR="003572AC">
              <w:rPr>
                <w:rFonts w:cstheme="minorHAnsi"/>
                <w:sz w:val="24"/>
                <w:szCs w:val="24"/>
              </w:rPr>
              <w:t xml:space="preserve">business efficiencies and </w:t>
            </w:r>
            <w:r w:rsidR="003572AC" w:rsidRPr="007B6FF9">
              <w:rPr>
                <w:rFonts w:cstheme="minorHAnsi"/>
                <w:sz w:val="24"/>
                <w:szCs w:val="24"/>
              </w:rPr>
              <w:t xml:space="preserve">benefits </w:t>
            </w:r>
            <w:r w:rsidR="003572AC">
              <w:rPr>
                <w:rFonts w:cstheme="minorHAnsi"/>
                <w:sz w:val="24"/>
                <w:szCs w:val="24"/>
              </w:rPr>
              <w:t xml:space="preserve">eInvoicing is </w:t>
            </w:r>
            <w:r w:rsidR="003572AC" w:rsidRPr="007B6FF9">
              <w:rPr>
                <w:rFonts w:cstheme="minorHAnsi"/>
                <w:sz w:val="24"/>
                <w:szCs w:val="24"/>
              </w:rPr>
              <w:t>expected</w:t>
            </w:r>
            <w:r w:rsidR="003572AC">
              <w:rPr>
                <w:rFonts w:cstheme="minorHAnsi"/>
                <w:sz w:val="24"/>
                <w:szCs w:val="24"/>
              </w:rPr>
              <w:t xml:space="preserve"> to provide to public sector bodies and suppliers</w:t>
            </w:r>
            <w:r w:rsidR="003572AC">
              <w:rPr>
                <w:rFonts w:cs="Arial"/>
                <w:sz w:val="24"/>
                <w:szCs w:val="24"/>
              </w:rPr>
              <w:t>.</w:t>
            </w:r>
            <w:r>
              <w:rPr>
                <w:rFonts w:cs="Arial"/>
                <w:sz w:val="24"/>
                <w:szCs w:val="24"/>
              </w:rPr>
              <w:t xml:space="preserve"> </w:t>
            </w:r>
            <w:r w:rsidR="0038240D" w:rsidRPr="0038240D">
              <w:rPr>
                <w:rFonts w:cs="Arial"/>
                <w:sz w:val="24"/>
                <w:szCs w:val="24"/>
              </w:rPr>
              <w:t xml:space="preserve"> </w:t>
            </w:r>
          </w:p>
          <w:p w:rsidR="00197F72" w:rsidRDefault="00197F72"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BA47B6" w:rsidRDefault="00BA47B6"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Pr>
                <w:rFonts w:cs="Arial"/>
                <w:sz w:val="24"/>
                <w:szCs w:val="24"/>
              </w:rPr>
              <w:t>To support the implementation of the Directive,</w:t>
            </w:r>
            <w:r w:rsidR="00244445">
              <w:rPr>
                <w:rFonts w:cs="Arial"/>
                <w:sz w:val="24"/>
                <w:szCs w:val="24"/>
              </w:rPr>
              <w:t xml:space="preserve"> </w:t>
            </w:r>
            <w:r>
              <w:rPr>
                <w:rFonts w:cs="Arial"/>
                <w:sz w:val="24"/>
                <w:szCs w:val="24"/>
              </w:rPr>
              <w:t xml:space="preserve">the Scottish Government is providing eInvoicing capability through the national </w:t>
            </w:r>
            <w:r w:rsidR="00DA053E">
              <w:rPr>
                <w:rFonts w:cs="Arial"/>
                <w:sz w:val="24"/>
                <w:szCs w:val="24"/>
              </w:rPr>
              <w:t>purchase-to-pay (</w:t>
            </w:r>
            <w:r>
              <w:rPr>
                <w:rFonts w:cs="Arial"/>
                <w:sz w:val="24"/>
                <w:szCs w:val="24"/>
              </w:rPr>
              <w:t>P2P</w:t>
            </w:r>
            <w:r w:rsidR="00DA053E">
              <w:rPr>
                <w:rFonts w:cs="Arial"/>
                <w:sz w:val="24"/>
                <w:szCs w:val="24"/>
              </w:rPr>
              <w:t>)</w:t>
            </w:r>
            <w:r>
              <w:rPr>
                <w:rFonts w:cs="Arial"/>
                <w:sz w:val="24"/>
                <w:szCs w:val="24"/>
              </w:rPr>
              <w:t xml:space="preserve"> solution</w:t>
            </w:r>
            <w:r w:rsidR="007C1895">
              <w:rPr>
                <w:rFonts w:cs="Arial"/>
                <w:sz w:val="24"/>
                <w:szCs w:val="24"/>
              </w:rPr>
              <w:t>,</w:t>
            </w:r>
            <w:r>
              <w:rPr>
                <w:rFonts w:cs="Arial"/>
                <w:sz w:val="24"/>
                <w:szCs w:val="24"/>
              </w:rPr>
              <w:t xml:space="preserve"> PECOS</w:t>
            </w:r>
            <w:r w:rsidR="007C1895">
              <w:rPr>
                <w:rFonts w:cs="Arial"/>
                <w:sz w:val="24"/>
                <w:szCs w:val="24"/>
              </w:rPr>
              <w:t>,</w:t>
            </w:r>
            <w:r>
              <w:rPr>
                <w:rFonts w:cs="Arial"/>
                <w:sz w:val="24"/>
                <w:szCs w:val="24"/>
              </w:rPr>
              <w:t xml:space="preserve"> which is available to all Scottish public bodies. </w:t>
            </w:r>
            <w:r w:rsidR="007C1895">
              <w:rPr>
                <w:rFonts w:cs="Arial"/>
                <w:sz w:val="24"/>
                <w:szCs w:val="24"/>
              </w:rPr>
              <w:t>This approach will help to embed continuous improvement in the P2P cycle, r</w:t>
            </w:r>
            <w:r w:rsidR="00DA053E">
              <w:rPr>
                <w:rFonts w:cs="Arial"/>
                <w:sz w:val="24"/>
                <w:szCs w:val="24"/>
              </w:rPr>
              <w:t xml:space="preserve">educe duplication of effort, </w:t>
            </w:r>
            <w:r w:rsidR="007C1895">
              <w:rPr>
                <w:rFonts w:cs="Arial"/>
                <w:sz w:val="24"/>
                <w:szCs w:val="24"/>
              </w:rPr>
              <w:t xml:space="preserve">fragmentation of approach and decrease the overall costs of delivering eInvoicing capability across the Scottish public sector.  </w:t>
            </w:r>
            <w:r>
              <w:rPr>
                <w:rFonts w:cs="Arial"/>
                <w:sz w:val="24"/>
                <w:szCs w:val="24"/>
              </w:rPr>
              <w:t xml:space="preserve">The overall cost (other than any interfaces that may be required between PECOS and finance systems) is currently being funded by the Scottish Government </w:t>
            </w:r>
          </w:p>
          <w:p w:rsidR="000828BE" w:rsidRDefault="000828BE"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BA47B6" w:rsidRDefault="00BA47B6"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The Scottish Government solution was successfully piloted with West Lothian Council from April 2013 to March 2014</w:t>
            </w:r>
            <w:r>
              <w:rPr>
                <w:rFonts w:cs="Arial"/>
                <w:b/>
                <w:sz w:val="24"/>
                <w:szCs w:val="24"/>
              </w:rPr>
              <w:t xml:space="preserve"> </w:t>
            </w:r>
            <w:r>
              <w:rPr>
                <w:rFonts w:cs="Arial"/>
                <w:sz w:val="24"/>
                <w:szCs w:val="24"/>
              </w:rPr>
              <w:t xml:space="preserve">and to date there are currently </w:t>
            </w:r>
            <w:r w:rsidR="000828BE">
              <w:rPr>
                <w:rFonts w:cs="Arial"/>
                <w:sz w:val="24"/>
                <w:szCs w:val="24"/>
              </w:rPr>
              <w:t xml:space="preserve">sixteen </w:t>
            </w:r>
            <w:r>
              <w:rPr>
                <w:rFonts w:cs="Arial"/>
                <w:sz w:val="24"/>
                <w:szCs w:val="24"/>
              </w:rPr>
              <w:t xml:space="preserve">public bodies using it with a further seventy public bodies actively engaging in discussions  regarding the implementation of the  solution.   Since 2013, over </w:t>
            </w:r>
            <w:r w:rsidR="00382509">
              <w:rPr>
                <w:rFonts w:cs="Arial"/>
                <w:sz w:val="24"/>
                <w:szCs w:val="24"/>
              </w:rPr>
              <w:t>35</w:t>
            </w:r>
            <w:r w:rsidR="00DA053E">
              <w:rPr>
                <w:rFonts w:cs="Arial"/>
                <w:sz w:val="24"/>
                <w:szCs w:val="24"/>
              </w:rPr>
              <w:t>0</w:t>
            </w:r>
            <w:r>
              <w:rPr>
                <w:rFonts w:cs="Arial"/>
                <w:sz w:val="24"/>
                <w:szCs w:val="24"/>
              </w:rPr>
              <w:t>,000 invoices have been captured delivering approximately £</w:t>
            </w:r>
            <w:r w:rsidR="00382509">
              <w:rPr>
                <w:rFonts w:cs="Arial"/>
                <w:sz w:val="24"/>
                <w:szCs w:val="24"/>
              </w:rPr>
              <w:t>4</w:t>
            </w:r>
            <w:r w:rsidR="00DA053E">
              <w:rPr>
                <w:rFonts w:cs="Arial"/>
                <w:sz w:val="24"/>
                <w:szCs w:val="24"/>
              </w:rPr>
              <w:t>.7</w:t>
            </w:r>
            <w:r w:rsidR="007C73F2">
              <w:rPr>
                <w:rFonts w:cs="Arial"/>
                <w:sz w:val="24"/>
                <w:szCs w:val="24"/>
              </w:rPr>
              <w:t xml:space="preserve"> </w:t>
            </w:r>
            <w:r>
              <w:rPr>
                <w:rFonts w:cs="Arial"/>
                <w:sz w:val="24"/>
                <w:szCs w:val="24"/>
              </w:rPr>
              <w:t>million of transactional efficiency savings</w:t>
            </w:r>
            <w:r w:rsidR="00A62FE6">
              <w:rPr>
                <w:rFonts w:cs="Arial"/>
                <w:b/>
                <w:sz w:val="24"/>
                <w:szCs w:val="24"/>
              </w:rPr>
              <w:t>.</w:t>
            </w:r>
          </w:p>
          <w:p w:rsidR="00D02B7A" w:rsidRDefault="00D02B7A" w:rsidP="005254D4">
            <w:pPr>
              <w:tabs>
                <w:tab w:val="left" w:pos="2160"/>
                <w:tab w:val="left" w:pos="2880"/>
                <w:tab w:val="left" w:pos="4680"/>
                <w:tab w:val="left" w:pos="5400"/>
                <w:tab w:val="right" w:pos="9000"/>
              </w:tabs>
              <w:spacing w:line="240" w:lineRule="atLeast"/>
              <w:jc w:val="both"/>
              <w:rPr>
                <w:rFonts w:cs="Arial"/>
                <w:sz w:val="24"/>
                <w:szCs w:val="24"/>
              </w:rPr>
            </w:pPr>
          </w:p>
          <w:p w:rsidR="0096546A" w:rsidRDefault="0096546A" w:rsidP="005254D4">
            <w:pPr>
              <w:tabs>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Rationale for Government intervention</w:t>
            </w:r>
            <w:r w:rsidR="0086430B">
              <w:rPr>
                <w:rFonts w:cs="Arial"/>
                <w:b/>
                <w:sz w:val="24"/>
                <w:szCs w:val="24"/>
              </w:rPr>
              <w:t>:</w:t>
            </w:r>
          </w:p>
          <w:p w:rsidR="005254D4" w:rsidRDefault="005254D4" w:rsidP="005254D4">
            <w:pPr>
              <w:tabs>
                <w:tab w:val="left" w:pos="2160"/>
                <w:tab w:val="left" w:pos="2880"/>
                <w:tab w:val="left" w:pos="4680"/>
                <w:tab w:val="left" w:pos="5400"/>
                <w:tab w:val="right" w:pos="9000"/>
              </w:tabs>
              <w:spacing w:line="240" w:lineRule="atLeast"/>
              <w:jc w:val="both"/>
              <w:rPr>
                <w:rFonts w:cs="Arial"/>
                <w:b/>
                <w:sz w:val="24"/>
                <w:szCs w:val="24"/>
              </w:rPr>
            </w:pPr>
          </w:p>
          <w:p w:rsidR="005254D4" w:rsidRDefault="005254D4" w:rsidP="005254D4">
            <w:pPr>
              <w:jc w:val="both"/>
              <w:rPr>
                <w:rFonts w:cs="Arial"/>
                <w:sz w:val="24"/>
                <w:szCs w:val="24"/>
              </w:rPr>
            </w:pPr>
            <w:r w:rsidRPr="00A423FD">
              <w:rPr>
                <w:rFonts w:cs="Arial"/>
                <w:sz w:val="24"/>
                <w:szCs w:val="24"/>
              </w:rPr>
              <w:t xml:space="preserve">Apart from the legislative requirement for changes to be made, the overall rationale for Government action on </w:t>
            </w:r>
            <w:r>
              <w:rPr>
                <w:rFonts w:cs="Arial"/>
                <w:sz w:val="24"/>
                <w:szCs w:val="24"/>
              </w:rPr>
              <w:t xml:space="preserve">eInvoicing in public </w:t>
            </w:r>
            <w:r w:rsidRPr="00A423FD">
              <w:rPr>
                <w:rFonts w:cs="Arial"/>
                <w:sz w:val="24"/>
                <w:szCs w:val="24"/>
              </w:rPr>
              <w:t xml:space="preserve">procurement is </w:t>
            </w:r>
            <w:r>
              <w:rPr>
                <w:rFonts w:cs="Arial"/>
                <w:sz w:val="24"/>
                <w:szCs w:val="24"/>
              </w:rPr>
              <w:t>to</w:t>
            </w:r>
            <w:r w:rsidRPr="00A423FD">
              <w:rPr>
                <w:rFonts w:cs="Arial"/>
                <w:sz w:val="24"/>
                <w:szCs w:val="24"/>
              </w:rPr>
              <w:t>:</w:t>
            </w:r>
          </w:p>
          <w:p w:rsidR="005254D4" w:rsidRDefault="005254D4" w:rsidP="005254D4">
            <w:pPr>
              <w:jc w:val="both"/>
              <w:rPr>
                <w:rFonts w:cs="Arial"/>
                <w:sz w:val="24"/>
                <w:szCs w:val="24"/>
              </w:rPr>
            </w:pPr>
          </w:p>
          <w:p w:rsidR="005254D4" w:rsidRDefault="005254D4" w:rsidP="005254D4">
            <w:pPr>
              <w:numPr>
                <w:ilvl w:val="0"/>
                <w:numId w:val="31"/>
              </w:numPr>
              <w:jc w:val="both"/>
              <w:rPr>
                <w:rFonts w:cs="Arial"/>
                <w:sz w:val="24"/>
                <w:szCs w:val="24"/>
              </w:rPr>
            </w:pPr>
            <w:r>
              <w:rPr>
                <w:rFonts w:cs="Arial"/>
                <w:sz w:val="24"/>
                <w:szCs w:val="24"/>
              </w:rPr>
              <w:t>Comply with the eInvoicing Directive to help drive efficiency benefits throughout the P2P cycle for both contracting authorities and suppliers</w:t>
            </w:r>
            <w:r w:rsidRPr="00A423FD">
              <w:rPr>
                <w:rFonts w:cs="Arial"/>
                <w:sz w:val="24"/>
                <w:szCs w:val="24"/>
              </w:rPr>
              <w:t>;</w:t>
            </w:r>
            <w:r>
              <w:rPr>
                <w:rFonts w:cs="Arial"/>
                <w:sz w:val="24"/>
                <w:szCs w:val="24"/>
              </w:rPr>
              <w:t xml:space="preserve"> and </w:t>
            </w:r>
          </w:p>
          <w:p w:rsidR="005254D4" w:rsidRPr="00A423FD" w:rsidRDefault="005254D4" w:rsidP="005254D4">
            <w:pPr>
              <w:ind w:left="360"/>
              <w:jc w:val="both"/>
              <w:rPr>
                <w:rFonts w:cs="Arial"/>
                <w:sz w:val="24"/>
                <w:szCs w:val="24"/>
              </w:rPr>
            </w:pPr>
          </w:p>
          <w:p w:rsidR="005254D4" w:rsidRDefault="005254D4" w:rsidP="005254D4">
            <w:pPr>
              <w:numPr>
                <w:ilvl w:val="0"/>
                <w:numId w:val="31"/>
              </w:numPr>
              <w:jc w:val="both"/>
              <w:rPr>
                <w:rFonts w:cs="Arial"/>
                <w:sz w:val="24"/>
                <w:szCs w:val="24"/>
              </w:rPr>
            </w:pPr>
            <w:r>
              <w:rPr>
                <w:rFonts w:cs="Arial"/>
                <w:sz w:val="24"/>
                <w:szCs w:val="24"/>
              </w:rPr>
              <w:t xml:space="preserve">Support the </w:t>
            </w:r>
            <w:hyperlink r:id="rId10" w:history="1">
              <w:r w:rsidRPr="00BD5ED9">
                <w:rPr>
                  <w:rStyle w:val="Hyperlink"/>
                  <w:rFonts w:cs="Arial"/>
                  <w:sz w:val="24"/>
                  <w:szCs w:val="24"/>
                </w:rPr>
                <w:t>Digital Strategy for Scotland</w:t>
              </w:r>
            </w:hyperlink>
            <w:r>
              <w:rPr>
                <w:rFonts w:cs="Arial"/>
                <w:sz w:val="24"/>
                <w:szCs w:val="24"/>
              </w:rPr>
              <w:t xml:space="preserve"> by providing the opportunity to provide shared technology platforms as a core part of the process of public service reform.</w:t>
            </w:r>
          </w:p>
          <w:p w:rsidR="005254D4" w:rsidRPr="007F262D" w:rsidRDefault="005254D4" w:rsidP="005254D4">
            <w:pPr>
              <w:ind w:left="720"/>
              <w:jc w:val="both"/>
              <w:rPr>
                <w:rFonts w:cs="Arial"/>
                <w:sz w:val="24"/>
                <w:szCs w:val="24"/>
              </w:rPr>
            </w:pPr>
            <w:r>
              <w:rPr>
                <w:rFonts w:cs="Arial"/>
                <w:sz w:val="24"/>
                <w:szCs w:val="24"/>
              </w:rPr>
              <w:t xml:space="preserve"> </w:t>
            </w:r>
          </w:p>
          <w:p w:rsidR="005254D4" w:rsidRPr="007F262D" w:rsidRDefault="005254D4" w:rsidP="005254D4">
            <w:pPr>
              <w:tabs>
                <w:tab w:val="left" w:pos="2160"/>
                <w:tab w:val="left" w:pos="2880"/>
                <w:tab w:val="left" w:pos="4680"/>
                <w:tab w:val="left" w:pos="5400"/>
                <w:tab w:val="right" w:pos="9000"/>
              </w:tabs>
              <w:spacing w:line="240" w:lineRule="atLeast"/>
              <w:jc w:val="both"/>
              <w:rPr>
                <w:sz w:val="24"/>
                <w:szCs w:val="24"/>
              </w:rPr>
            </w:pPr>
            <w:r>
              <w:rPr>
                <w:rFonts w:cs="Arial"/>
                <w:sz w:val="24"/>
                <w:szCs w:val="24"/>
              </w:rPr>
              <w:t>The Directive and transposition into Scots Law</w:t>
            </w:r>
            <w:r w:rsidRPr="007F262D">
              <w:rPr>
                <w:rFonts w:cs="Arial"/>
                <w:sz w:val="24"/>
                <w:szCs w:val="24"/>
              </w:rPr>
              <w:t xml:space="preserve"> will </w:t>
            </w:r>
            <w:r>
              <w:rPr>
                <w:rFonts w:cs="Arial"/>
                <w:sz w:val="24"/>
                <w:szCs w:val="24"/>
              </w:rPr>
              <w:t xml:space="preserve">require public bodies to have in place the capability to automatically receive and process eInvoices </w:t>
            </w:r>
            <w:r w:rsidRPr="007F262D">
              <w:rPr>
                <w:rFonts w:cs="Arial"/>
                <w:sz w:val="24"/>
                <w:szCs w:val="24"/>
              </w:rPr>
              <w:t>for all contracts</w:t>
            </w:r>
            <w:r>
              <w:rPr>
                <w:rFonts w:cs="Arial"/>
                <w:sz w:val="24"/>
                <w:szCs w:val="24"/>
              </w:rPr>
              <w:t xml:space="preserve"> </w:t>
            </w:r>
            <w:r w:rsidR="003572AC">
              <w:rPr>
                <w:rFonts w:cs="Arial"/>
                <w:sz w:val="24"/>
                <w:szCs w:val="24"/>
              </w:rPr>
              <w:t>regulated by the European Public Procurement Directives</w:t>
            </w:r>
            <w:r>
              <w:rPr>
                <w:rFonts w:cs="Arial"/>
                <w:sz w:val="24"/>
                <w:szCs w:val="24"/>
              </w:rPr>
              <w:t>.</w:t>
            </w:r>
            <w:r w:rsidRPr="007F262D">
              <w:rPr>
                <w:rFonts w:cs="Arial"/>
                <w:sz w:val="24"/>
                <w:szCs w:val="24"/>
              </w:rPr>
              <w:t xml:space="preserve">  In doing so, it will increase transparency and help to tackle unnecessary inconsistencies for suppliers doing business with the public sector.  </w:t>
            </w:r>
          </w:p>
          <w:p w:rsidR="00CC756F" w:rsidRPr="00DD3B38" w:rsidRDefault="00CC756F" w:rsidP="005254D4">
            <w:pPr>
              <w:tabs>
                <w:tab w:val="left" w:pos="2160"/>
                <w:tab w:val="left" w:pos="2880"/>
                <w:tab w:val="left" w:pos="4680"/>
                <w:tab w:val="left" w:pos="5400"/>
                <w:tab w:val="right" w:pos="9000"/>
              </w:tabs>
              <w:spacing w:line="240" w:lineRule="atLeast"/>
              <w:jc w:val="both"/>
              <w:rPr>
                <w:rFonts w:cs="Arial"/>
                <w:b/>
                <w:sz w:val="24"/>
                <w:szCs w:val="24"/>
              </w:rPr>
            </w:pPr>
          </w:p>
          <w:p w:rsidR="005254D4" w:rsidRDefault="00CC756F" w:rsidP="005254D4">
            <w:pPr>
              <w:jc w:val="both"/>
              <w:rPr>
                <w:rFonts w:asciiTheme="minorHAnsi" w:hAnsiTheme="minorHAnsi" w:cstheme="minorHAnsi"/>
                <w:bCs/>
                <w:sz w:val="24"/>
                <w:szCs w:val="24"/>
              </w:rPr>
            </w:pPr>
            <w:r w:rsidRPr="00F53221">
              <w:rPr>
                <w:rFonts w:cs="Arial"/>
                <w:sz w:val="24"/>
                <w:szCs w:val="24"/>
              </w:rPr>
              <w:t xml:space="preserve">The public sector spends over </w:t>
            </w:r>
            <w:r w:rsidRPr="00357580">
              <w:rPr>
                <w:rFonts w:cs="Arial"/>
                <w:sz w:val="24"/>
                <w:szCs w:val="24"/>
              </w:rPr>
              <w:t>£</w:t>
            </w:r>
            <w:r>
              <w:rPr>
                <w:rFonts w:cs="Arial"/>
                <w:sz w:val="24"/>
                <w:szCs w:val="24"/>
              </w:rPr>
              <w:t>12</w:t>
            </w:r>
            <w:r w:rsidRPr="00357580">
              <w:rPr>
                <w:rFonts w:cs="Arial"/>
                <w:sz w:val="24"/>
                <w:szCs w:val="24"/>
              </w:rPr>
              <w:t xml:space="preserve"> billion</w:t>
            </w:r>
            <w:r w:rsidRPr="00F53221">
              <w:rPr>
                <w:rFonts w:cs="Arial"/>
                <w:sz w:val="24"/>
                <w:szCs w:val="24"/>
              </w:rPr>
              <w:t xml:space="preserve"> each year on goods, works and services.  </w:t>
            </w:r>
            <w:r w:rsidR="005254D4" w:rsidRPr="005254D4">
              <w:rPr>
                <w:rFonts w:cs="Arial"/>
                <w:sz w:val="24"/>
                <w:szCs w:val="24"/>
              </w:rPr>
              <w:t>This provides an excellent platform to work with the public, private and third sectors to</w:t>
            </w:r>
            <w:r w:rsidR="005254D4" w:rsidRPr="005254D4">
              <w:rPr>
                <w:rFonts w:cs="Arial"/>
                <w:b/>
                <w:bCs/>
                <w:sz w:val="24"/>
                <w:szCs w:val="24"/>
              </w:rPr>
              <w:t xml:space="preserve"> </w:t>
            </w:r>
            <w:r w:rsidR="005254D4" w:rsidRPr="005254D4">
              <w:rPr>
                <w:rFonts w:cs="Arial"/>
                <w:bCs/>
                <w:sz w:val="24"/>
                <w:szCs w:val="24"/>
              </w:rPr>
              <w:t>deliver procurement that improves public services for a prosperous, fairer and more sustainable Scotland</w:t>
            </w:r>
            <w:r w:rsidR="005254D4">
              <w:rPr>
                <w:rFonts w:asciiTheme="minorHAnsi" w:hAnsiTheme="minorHAnsi" w:cstheme="minorHAnsi"/>
                <w:bCs/>
                <w:szCs w:val="24"/>
              </w:rPr>
              <w:t xml:space="preserve">. </w:t>
            </w:r>
          </w:p>
          <w:p w:rsidR="00B47654" w:rsidRDefault="00B47654" w:rsidP="005254D4">
            <w:pPr>
              <w:tabs>
                <w:tab w:val="left" w:pos="2160"/>
                <w:tab w:val="left" w:pos="2880"/>
                <w:tab w:val="left" w:pos="4680"/>
                <w:tab w:val="left" w:pos="5400"/>
                <w:tab w:val="right" w:pos="9000"/>
              </w:tabs>
              <w:spacing w:line="240" w:lineRule="atLeast"/>
              <w:jc w:val="both"/>
              <w:rPr>
                <w:rFonts w:cs="Arial"/>
                <w:sz w:val="24"/>
                <w:szCs w:val="24"/>
              </w:rPr>
            </w:pPr>
          </w:p>
          <w:p w:rsidR="00B47654" w:rsidRPr="007F41B7" w:rsidRDefault="00B47654" w:rsidP="005254D4">
            <w:pPr>
              <w:tabs>
                <w:tab w:val="left" w:pos="720"/>
                <w:tab w:val="left" w:pos="1440"/>
                <w:tab w:val="left" w:pos="2160"/>
                <w:tab w:val="left" w:pos="2880"/>
                <w:tab w:val="left" w:pos="4680"/>
                <w:tab w:val="left" w:pos="5400"/>
                <w:tab w:val="right" w:pos="9000"/>
              </w:tabs>
              <w:spacing w:line="240" w:lineRule="atLeast"/>
              <w:contextualSpacing/>
              <w:jc w:val="both"/>
              <w:rPr>
                <w:sz w:val="24"/>
                <w:szCs w:val="24"/>
              </w:rPr>
            </w:pPr>
            <w:r w:rsidRPr="007F41B7">
              <w:rPr>
                <w:sz w:val="24"/>
                <w:szCs w:val="24"/>
              </w:rPr>
              <w:t xml:space="preserve">It is generally accepted that the implementation of eInvoicing by the public sector will make it much easier to do business with as well as facilitate more efficient payment processes to suppliers, including SMEs, which will bring cost savings and liquidity benefits.  There are </w:t>
            </w:r>
            <w:r w:rsidR="00382509">
              <w:rPr>
                <w:sz w:val="24"/>
                <w:szCs w:val="24"/>
              </w:rPr>
              <w:t>three</w:t>
            </w:r>
            <w:r w:rsidRPr="007F41B7">
              <w:rPr>
                <w:sz w:val="24"/>
                <w:szCs w:val="24"/>
              </w:rPr>
              <w:t xml:space="preserve"> good reasons why the public sector should adopt eInvoicing:</w:t>
            </w:r>
          </w:p>
          <w:p w:rsidR="00B47654" w:rsidRPr="007F41B7" w:rsidRDefault="00B47654" w:rsidP="005254D4">
            <w:pPr>
              <w:pStyle w:val="ListParagraph"/>
              <w:tabs>
                <w:tab w:val="clear" w:pos="720"/>
                <w:tab w:val="left" w:pos="426"/>
              </w:tabs>
              <w:ind w:left="0"/>
              <w:rPr>
                <w:rFonts w:cs="Calibri"/>
                <w:szCs w:val="24"/>
              </w:rPr>
            </w:pPr>
          </w:p>
          <w:p w:rsidR="00B47654" w:rsidRPr="007F41B7" w:rsidRDefault="00B47654" w:rsidP="005254D4">
            <w:pPr>
              <w:pStyle w:val="ListParagraph"/>
              <w:numPr>
                <w:ilvl w:val="0"/>
                <w:numId w:val="35"/>
              </w:numPr>
              <w:tabs>
                <w:tab w:val="clear" w:pos="720"/>
                <w:tab w:val="left" w:pos="426"/>
              </w:tabs>
              <w:rPr>
                <w:rFonts w:cs="Calibri"/>
                <w:szCs w:val="24"/>
              </w:rPr>
            </w:pPr>
            <w:r w:rsidRPr="007F41B7">
              <w:rPr>
                <w:rFonts w:cs="Calibri"/>
                <w:szCs w:val="24"/>
              </w:rPr>
              <w:t>Electronic invoicing is supportive of public policy priorities for economic growth, deficit reduc</w:t>
            </w:r>
            <w:r w:rsidR="005254D4">
              <w:rPr>
                <w:rFonts w:cs="Calibri"/>
                <w:szCs w:val="24"/>
              </w:rPr>
              <w:t>tion and financial transparency;</w:t>
            </w:r>
          </w:p>
          <w:p w:rsidR="00B47654" w:rsidRPr="007F41B7" w:rsidRDefault="00B47654" w:rsidP="005254D4">
            <w:pPr>
              <w:tabs>
                <w:tab w:val="left" w:pos="426"/>
              </w:tabs>
              <w:jc w:val="both"/>
              <w:rPr>
                <w:rFonts w:cs="Calibri"/>
                <w:sz w:val="24"/>
                <w:szCs w:val="24"/>
              </w:rPr>
            </w:pPr>
          </w:p>
          <w:p w:rsidR="00B47654" w:rsidRPr="007F41B7" w:rsidRDefault="00B47654" w:rsidP="005254D4">
            <w:pPr>
              <w:pStyle w:val="ListParagraph"/>
              <w:numPr>
                <w:ilvl w:val="0"/>
                <w:numId w:val="35"/>
              </w:numPr>
              <w:tabs>
                <w:tab w:val="clear" w:pos="720"/>
                <w:tab w:val="left" w:pos="426"/>
              </w:tabs>
              <w:rPr>
                <w:rFonts w:cs="Calibri"/>
                <w:szCs w:val="24"/>
              </w:rPr>
            </w:pPr>
            <w:r w:rsidRPr="007F41B7">
              <w:rPr>
                <w:rFonts w:cs="Calibri"/>
                <w:szCs w:val="24"/>
              </w:rPr>
              <w:t>It will specifically make a material contribution to public secto</w:t>
            </w:r>
            <w:r w:rsidR="005254D4">
              <w:rPr>
                <w:rFonts w:cs="Calibri"/>
                <w:szCs w:val="24"/>
              </w:rPr>
              <w:t>r cost reduction and efficiency; and</w:t>
            </w:r>
          </w:p>
          <w:p w:rsidR="00B47654" w:rsidRPr="007F41B7" w:rsidRDefault="00B47654" w:rsidP="005254D4">
            <w:pPr>
              <w:tabs>
                <w:tab w:val="left" w:pos="426"/>
              </w:tabs>
              <w:jc w:val="both"/>
              <w:rPr>
                <w:rFonts w:cs="Calibri"/>
                <w:sz w:val="24"/>
                <w:szCs w:val="24"/>
              </w:rPr>
            </w:pPr>
          </w:p>
          <w:p w:rsidR="00B47654" w:rsidRPr="007F41B7" w:rsidRDefault="00B47654" w:rsidP="005254D4">
            <w:pPr>
              <w:pStyle w:val="ListParagraph"/>
              <w:numPr>
                <w:ilvl w:val="0"/>
                <w:numId w:val="35"/>
              </w:numPr>
              <w:tabs>
                <w:tab w:val="clear" w:pos="720"/>
                <w:tab w:val="left" w:pos="426"/>
              </w:tabs>
              <w:rPr>
                <w:rFonts w:cs="Calibri"/>
                <w:szCs w:val="24"/>
              </w:rPr>
            </w:pPr>
            <w:r w:rsidRPr="007F41B7">
              <w:rPr>
                <w:rFonts w:cs="Calibri"/>
                <w:szCs w:val="24"/>
              </w:rPr>
              <w:t>It will provide major benefits to private sector suppliers and clear opportunities for the public sector to act as a catalyst for the wider adoption of digital processes with the resultant productivity gains throughout the economy.</w:t>
            </w:r>
          </w:p>
          <w:p w:rsidR="00B47654" w:rsidRDefault="00B47654"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B47654" w:rsidRDefault="00B47654"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There are a range of transactional efficiencies and benefits that can be achieved by public bodies through the implementation of eInvoicing: </w:t>
            </w:r>
          </w:p>
          <w:p w:rsidR="00B47654" w:rsidRDefault="00B47654"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B47654" w:rsidRPr="007F41B7" w:rsidRDefault="00B47654" w:rsidP="005254D4">
            <w:pPr>
              <w:numPr>
                <w:ilvl w:val="0"/>
                <w:numId w:val="32"/>
              </w:num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Reduced</w:t>
            </w:r>
            <w:r w:rsidRPr="007F41B7">
              <w:rPr>
                <w:rFonts w:cs="Arial"/>
                <w:sz w:val="24"/>
                <w:szCs w:val="24"/>
              </w:rPr>
              <w:t xml:space="preserve"> </w:t>
            </w:r>
            <w:r>
              <w:rPr>
                <w:rFonts w:cs="Arial"/>
                <w:sz w:val="24"/>
                <w:szCs w:val="24"/>
              </w:rPr>
              <w:t>c</w:t>
            </w:r>
            <w:r w:rsidRPr="007F41B7">
              <w:rPr>
                <w:rFonts w:cs="Arial"/>
                <w:sz w:val="24"/>
                <w:szCs w:val="24"/>
              </w:rPr>
              <w:t>osts</w:t>
            </w:r>
            <w:r w:rsidR="005254D4">
              <w:rPr>
                <w:rFonts w:cs="Arial"/>
                <w:sz w:val="24"/>
                <w:szCs w:val="24"/>
              </w:rPr>
              <w:t>;</w:t>
            </w:r>
          </w:p>
          <w:p w:rsidR="00B47654" w:rsidRPr="007F41B7" w:rsidRDefault="00B47654" w:rsidP="005254D4">
            <w:pPr>
              <w:numPr>
                <w:ilvl w:val="0"/>
                <w:numId w:val="32"/>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Increase</w:t>
            </w:r>
            <w:r>
              <w:rPr>
                <w:rFonts w:cs="Arial"/>
                <w:sz w:val="24"/>
                <w:szCs w:val="24"/>
              </w:rPr>
              <w:t>d</w:t>
            </w:r>
            <w:r w:rsidRPr="007F41B7">
              <w:rPr>
                <w:rFonts w:cs="Arial"/>
                <w:sz w:val="24"/>
                <w:szCs w:val="24"/>
              </w:rPr>
              <w:t xml:space="preserve"> ac</w:t>
            </w:r>
            <w:r>
              <w:rPr>
                <w:rFonts w:cs="Arial"/>
                <w:sz w:val="24"/>
                <w:szCs w:val="24"/>
              </w:rPr>
              <w:t>curacy and processing efficiencies</w:t>
            </w:r>
            <w:r w:rsidR="005254D4">
              <w:rPr>
                <w:rFonts w:cs="Arial"/>
                <w:sz w:val="24"/>
                <w:szCs w:val="24"/>
              </w:rPr>
              <w:t>;</w:t>
            </w:r>
          </w:p>
          <w:p w:rsidR="00B47654" w:rsidRPr="007F41B7" w:rsidRDefault="00B47654" w:rsidP="005254D4">
            <w:pPr>
              <w:numPr>
                <w:ilvl w:val="0"/>
                <w:numId w:val="32"/>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Faster processing and payment cycles</w:t>
            </w:r>
            <w:r w:rsidR="005254D4">
              <w:rPr>
                <w:rFonts w:cs="Arial"/>
                <w:sz w:val="24"/>
                <w:szCs w:val="24"/>
              </w:rPr>
              <w:t>;</w:t>
            </w:r>
          </w:p>
          <w:p w:rsidR="00B47654" w:rsidRPr="007F41B7" w:rsidRDefault="00B47654" w:rsidP="005254D4">
            <w:pPr>
              <w:numPr>
                <w:ilvl w:val="0"/>
                <w:numId w:val="32"/>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Improve</w:t>
            </w:r>
            <w:r>
              <w:rPr>
                <w:rFonts w:cs="Arial"/>
                <w:sz w:val="24"/>
                <w:szCs w:val="24"/>
              </w:rPr>
              <w:t>d</w:t>
            </w:r>
            <w:r w:rsidRPr="007F41B7">
              <w:rPr>
                <w:rFonts w:cs="Arial"/>
                <w:sz w:val="24"/>
                <w:szCs w:val="24"/>
              </w:rPr>
              <w:t xml:space="preserve"> controls and compliance</w:t>
            </w:r>
            <w:r w:rsidR="005254D4">
              <w:rPr>
                <w:rFonts w:cs="Arial"/>
                <w:sz w:val="24"/>
                <w:szCs w:val="24"/>
              </w:rPr>
              <w:t>;</w:t>
            </w:r>
          </w:p>
          <w:p w:rsidR="00B47654" w:rsidRPr="007F41B7" w:rsidRDefault="00B47654" w:rsidP="005254D4">
            <w:pPr>
              <w:numPr>
                <w:ilvl w:val="0"/>
                <w:numId w:val="32"/>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Increase</w:t>
            </w:r>
            <w:r>
              <w:rPr>
                <w:rFonts w:cs="Arial"/>
                <w:sz w:val="24"/>
                <w:szCs w:val="24"/>
              </w:rPr>
              <w:t>d</w:t>
            </w:r>
            <w:r w:rsidRPr="007F41B7">
              <w:rPr>
                <w:rFonts w:cs="Arial"/>
                <w:sz w:val="24"/>
                <w:szCs w:val="24"/>
              </w:rPr>
              <w:t xml:space="preserve"> visibility and transparency</w:t>
            </w:r>
            <w:r w:rsidR="005254D4">
              <w:rPr>
                <w:rFonts w:cs="Arial"/>
                <w:sz w:val="24"/>
                <w:szCs w:val="24"/>
              </w:rPr>
              <w:t>;</w:t>
            </w:r>
          </w:p>
          <w:p w:rsidR="00B47654" w:rsidRPr="007F41B7" w:rsidRDefault="00B47654" w:rsidP="005254D4">
            <w:pPr>
              <w:numPr>
                <w:ilvl w:val="0"/>
                <w:numId w:val="32"/>
              </w:num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Focus</w:t>
            </w:r>
            <w:r w:rsidR="005254D4">
              <w:rPr>
                <w:rFonts w:cs="Arial"/>
                <w:sz w:val="24"/>
                <w:szCs w:val="24"/>
              </w:rPr>
              <w:t xml:space="preserve"> on higher value activities; and</w:t>
            </w:r>
          </w:p>
          <w:p w:rsidR="00B47654" w:rsidRPr="007F41B7" w:rsidRDefault="00B47654" w:rsidP="005254D4">
            <w:pPr>
              <w:numPr>
                <w:ilvl w:val="0"/>
                <w:numId w:val="32"/>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Lower carbon footprint</w:t>
            </w:r>
          </w:p>
          <w:p w:rsidR="00D17666" w:rsidRDefault="00D17666" w:rsidP="005254D4">
            <w:pPr>
              <w:tabs>
                <w:tab w:val="left" w:pos="1440"/>
                <w:tab w:val="left" w:pos="2160"/>
                <w:tab w:val="left" w:pos="2880"/>
                <w:tab w:val="left" w:pos="4680"/>
                <w:tab w:val="left" w:pos="5400"/>
                <w:tab w:val="right" w:pos="9000"/>
              </w:tabs>
              <w:spacing w:line="240" w:lineRule="atLeast"/>
              <w:ind w:left="709"/>
              <w:jc w:val="both"/>
              <w:rPr>
                <w:rFonts w:cs="Arial"/>
                <w:sz w:val="24"/>
                <w:szCs w:val="24"/>
              </w:rPr>
            </w:pPr>
          </w:p>
          <w:p w:rsidR="007F262D" w:rsidRPr="007F262D" w:rsidRDefault="00042E36" w:rsidP="005254D4">
            <w:pPr>
              <w:jc w:val="both"/>
              <w:rPr>
                <w:rFonts w:cs="Arial"/>
                <w:sz w:val="24"/>
                <w:szCs w:val="24"/>
              </w:rPr>
            </w:pPr>
            <w:r>
              <w:rPr>
                <w:rFonts w:cs="Arial"/>
                <w:sz w:val="24"/>
                <w:szCs w:val="24"/>
              </w:rPr>
              <w:t>T</w:t>
            </w:r>
            <w:r w:rsidR="007F262D" w:rsidRPr="007F262D">
              <w:rPr>
                <w:rFonts w:cs="Arial"/>
                <w:sz w:val="24"/>
                <w:szCs w:val="24"/>
              </w:rPr>
              <w:t>he above reasons provide the rationale for Scottish Government intervention.</w:t>
            </w:r>
          </w:p>
          <w:p w:rsidR="00D17666" w:rsidRDefault="00D17666" w:rsidP="005254D4">
            <w:pPr>
              <w:tabs>
                <w:tab w:val="left" w:pos="1440"/>
                <w:tab w:val="left" w:pos="2160"/>
                <w:tab w:val="left" w:pos="2880"/>
                <w:tab w:val="left" w:pos="4680"/>
                <w:tab w:val="left" w:pos="5400"/>
                <w:tab w:val="right" w:pos="9000"/>
              </w:tabs>
              <w:spacing w:line="240" w:lineRule="atLeast"/>
              <w:ind w:left="709"/>
              <w:jc w:val="both"/>
              <w:rPr>
                <w:rFonts w:cs="Arial"/>
                <w:sz w:val="24"/>
                <w:szCs w:val="24"/>
              </w:rPr>
            </w:pPr>
          </w:p>
          <w:p w:rsidR="00DD1E3E" w:rsidRPr="00DD3B38" w:rsidRDefault="00DD1E3E" w:rsidP="005254D4">
            <w:pPr>
              <w:tabs>
                <w:tab w:val="left" w:pos="1440"/>
                <w:tab w:val="left" w:pos="2160"/>
                <w:tab w:val="left" w:pos="2880"/>
                <w:tab w:val="left" w:pos="4680"/>
                <w:tab w:val="left" w:pos="5400"/>
                <w:tab w:val="right" w:pos="9000"/>
              </w:tabs>
              <w:spacing w:line="240" w:lineRule="atLeast"/>
              <w:ind w:left="709"/>
              <w:jc w:val="both"/>
              <w:rPr>
                <w:rFonts w:cs="Arial"/>
                <w:b/>
                <w:sz w:val="24"/>
                <w:szCs w:val="24"/>
              </w:rPr>
            </w:pPr>
          </w:p>
        </w:tc>
      </w:tr>
      <w:tr w:rsidR="0096546A" w:rsidRPr="00DD3B38" w:rsidTr="00FF0EE2">
        <w:tc>
          <w:tcPr>
            <w:tcW w:w="5000" w:type="pct"/>
            <w:shd w:val="clear" w:color="auto" w:fill="auto"/>
          </w:tcPr>
          <w:p w:rsidR="0096546A" w:rsidRPr="007F41B7" w:rsidRDefault="0096546A" w:rsidP="005254D4">
            <w:pPr>
              <w:pStyle w:val="ListParagraph"/>
              <w:numPr>
                <w:ilvl w:val="0"/>
                <w:numId w:val="34"/>
              </w:numPr>
              <w:rPr>
                <w:rFonts w:cs="Arial"/>
                <w:b/>
                <w:szCs w:val="24"/>
              </w:rPr>
            </w:pPr>
            <w:r w:rsidRPr="007F41B7">
              <w:rPr>
                <w:rFonts w:cs="Arial"/>
                <w:b/>
                <w:szCs w:val="24"/>
              </w:rPr>
              <w:lastRenderedPageBreak/>
              <w:t>Consultation</w:t>
            </w:r>
            <w:r w:rsidR="00E1039A" w:rsidRPr="007F41B7">
              <w:rPr>
                <w:rFonts w:cs="Arial"/>
                <w:b/>
                <w:szCs w:val="24"/>
              </w:rPr>
              <w:t xml:space="preserve"> </w:t>
            </w:r>
          </w:p>
          <w:p w:rsidR="00984151" w:rsidRDefault="00984151"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96546A" w:rsidRPr="00DD3B38" w:rsidRDefault="0096546A" w:rsidP="005254D4">
            <w:pPr>
              <w:tabs>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Within Government</w:t>
            </w:r>
          </w:p>
          <w:p w:rsidR="00BF1461" w:rsidRDefault="00BF1461" w:rsidP="005254D4">
            <w:pPr>
              <w:tabs>
                <w:tab w:val="num" w:pos="709"/>
                <w:tab w:val="left" w:pos="2160"/>
                <w:tab w:val="left" w:pos="2880"/>
                <w:tab w:val="left" w:pos="4680"/>
                <w:tab w:val="left" w:pos="5400"/>
                <w:tab w:val="right" w:pos="9000"/>
              </w:tabs>
              <w:spacing w:line="240" w:lineRule="atLeast"/>
              <w:ind w:left="709"/>
              <w:jc w:val="both"/>
              <w:rPr>
                <w:rFonts w:cs="Arial"/>
                <w:sz w:val="24"/>
                <w:szCs w:val="24"/>
              </w:rPr>
            </w:pPr>
          </w:p>
          <w:p w:rsidR="006A4E8D" w:rsidRDefault="006A4E8D"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The main elements of th</w:t>
            </w:r>
            <w:r w:rsidR="004F27DF">
              <w:rPr>
                <w:rFonts w:cs="Arial"/>
                <w:sz w:val="24"/>
                <w:szCs w:val="24"/>
              </w:rPr>
              <w:t>e new eInvoicing Directive ha</w:t>
            </w:r>
            <w:r w:rsidR="007814B4">
              <w:rPr>
                <w:rFonts w:cs="Arial"/>
                <w:sz w:val="24"/>
                <w:szCs w:val="24"/>
              </w:rPr>
              <w:t>ve</w:t>
            </w:r>
            <w:r w:rsidR="004F27DF">
              <w:rPr>
                <w:rFonts w:cs="Arial"/>
                <w:sz w:val="24"/>
                <w:szCs w:val="24"/>
              </w:rPr>
              <w:t xml:space="preserve"> </w:t>
            </w:r>
            <w:r>
              <w:rPr>
                <w:rFonts w:cs="Arial"/>
                <w:sz w:val="24"/>
                <w:szCs w:val="24"/>
              </w:rPr>
              <w:t xml:space="preserve">been communicated to </w:t>
            </w:r>
            <w:r w:rsidR="001B0D45">
              <w:rPr>
                <w:rFonts w:cs="Arial"/>
                <w:sz w:val="24"/>
                <w:szCs w:val="24"/>
              </w:rPr>
              <w:t>all central government bodies (including NHS)</w:t>
            </w:r>
            <w:r>
              <w:rPr>
                <w:rFonts w:cs="Arial"/>
                <w:sz w:val="24"/>
                <w:szCs w:val="24"/>
              </w:rPr>
              <w:t xml:space="preserve"> </w:t>
            </w:r>
            <w:r w:rsidR="003C4178">
              <w:rPr>
                <w:rFonts w:cs="Arial"/>
                <w:sz w:val="24"/>
                <w:szCs w:val="24"/>
              </w:rPr>
              <w:t>at</w:t>
            </w:r>
            <w:r>
              <w:rPr>
                <w:rFonts w:cs="Arial"/>
                <w:sz w:val="24"/>
                <w:szCs w:val="24"/>
              </w:rPr>
              <w:t xml:space="preserve"> numerous events </w:t>
            </w:r>
            <w:r w:rsidR="007814B4">
              <w:rPr>
                <w:rFonts w:cs="Arial"/>
                <w:sz w:val="24"/>
                <w:szCs w:val="24"/>
              </w:rPr>
              <w:t xml:space="preserve">since the Directive was first proposed in 2012 </w:t>
            </w:r>
            <w:r w:rsidR="003C4178">
              <w:rPr>
                <w:rFonts w:cs="Arial"/>
                <w:sz w:val="24"/>
                <w:szCs w:val="24"/>
              </w:rPr>
              <w:t>(this list is not exhaustive)</w:t>
            </w:r>
            <w:r w:rsidR="004F7C96">
              <w:rPr>
                <w:rFonts w:cs="Arial"/>
                <w:sz w:val="24"/>
                <w:szCs w:val="24"/>
              </w:rPr>
              <w:t>:</w:t>
            </w:r>
            <w:r w:rsidR="003C4178">
              <w:rPr>
                <w:rFonts w:cs="Arial"/>
                <w:sz w:val="24"/>
                <w:szCs w:val="24"/>
              </w:rPr>
              <w:t xml:space="preserve"> </w:t>
            </w:r>
          </w:p>
          <w:p w:rsidR="006A4E8D" w:rsidRDefault="006A4E8D"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6A4E8D" w:rsidRDefault="006A4E8D" w:rsidP="005254D4">
            <w:pPr>
              <w:pStyle w:val="ListParagraph"/>
              <w:numPr>
                <w:ilvl w:val="0"/>
                <w:numId w:val="36"/>
              </w:numPr>
              <w:rPr>
                <w:rFonts w:cs="Arial"/>
                <w:szCs w:val="24"/>
              </w:rPr>
            </w:pPr>
            <w:r>
              <w:rPr>
                <w:rFonts w:cs="Arial"/>
                <w:szCs w:val="24"/>
              </w:rPr>
              <w:t xml:space="preserve">Scottish </w:t>
            </w:r>
            <w:r w:rsidR="00A86BA6">
              <w:rPr>
                <w:rFonts w:cs="Arial"/>
                <w:szCs w:val="24"/>
              </w:rPr>
              <w:t xml:space="preserve">Government National </w:t>
            </w:r>
            <w:r>
              <w:rPr>
                <w:rFonts w:cs="Arial"/>
                <w:szCs w:val="24"/>
              </w:rPr>
              <w:t>Procurement Conference (Procurex)</w:t>
            </w:r>
            <w:r w:rsidR="00A86BA6">
              <w:rPr>
                <w:rFonts w:cs="Arial"/>
                <w:szCs w:val="24"/>
              </w:rPr>
              <w:t xml:space="preserve">: </w:t>
            </w:r>
            <w:r w:rsidR="004F7C96">
              <w:rPr>
                <w:rFonts w:cs="Arial"/>
                <w:szCs w:val="24"/>
              </w:rPr>
              <w:t xml:space="preserve">23 October 2012, 22 October </w:t>
            </w:r>
            <w:r w:rsidR="00A86BA6">
              <w:rPr>
                <w:rFonts w:cs="Arial"/>
                <w:szCs w:val="24"/>
              </w:rPr>
              <w:t>2013</w:t>
            </w:r>
            <w:r w:rsidR="004F7C96">
              <w:rPr>
                <w:rFonts w:cs="Arial"/>
                <w:szCs w:val="24"/>
              </w:rPr>
              <w:t>,</w:t>
            </w:r>
            <w:r>
              <w:rPr>
                <w:rFonts w:cs="Arial"/>
                <w:szCs w:val="24"/>
              </w:rPr>
              <w:t xml:space="preserve"> 21 October 2014</w:t>
            </w:r>
            <w:r w:rsidR="00A86BA6">
              <w:rPr>
                <w:rFonts w:cs="Arial"/>
                <w:szCs w:val="24"/>
              </w:rPr>
              <w:t>,</w:t>
            </w:r>
            <w:r>
              <w:rPr>
                <w:rFonts w:cs="Arial"/>
                <w:szCs w:val="24"/>
              </w:rPr>
              <w:t xml:space="preserve"> </w:t>
            </w:r>
            <w:r w:rsidR="00A86BA6">
              <w:rPr>
                <w:rFonts w:cs="Arial"/>
                <w:szCs w:val="24"/>
              </w:rPr>
              <w:t xml:space="preserve">6 October </w:t>
            </w:r>
            <w:r>
              <w:rPr>
                <w:rFonts w:cs="Arial"/>
                <w:szCs w:val="24"/>
              </w:rPr>
              <w:t>2015</w:t>
            </w:r>
            <w:r w:rsidR="000828BE">
              <w:rPr>
                <w:rFonts w:cs="Arial"/>
                <w:szCs w:val="24"/>
              </w:rPr>
              <w:t>; 9 November 2016;</w:t>
            </w:r>
            <w:r w:rsidR="00A86BA6">
              <w:rPr>
                <w:rFonts w:cs="Arial"/>
                <w:szCs w:val="24"/>
              </w:rPr>
              <w:t xml:space="preserve"> and </w:t>
            </w:r>
            <w:r w:rsidR="000828BE">
              <w:rPr>
                <w:rFonts w:cs="Arial"/>
                <w:szCs w:val="24"/>
              </w:rPr>
              <w:t xml:space="preserve"> 25 October</w:t>
            </w:r>
            <w:r w:rsidR="00A86BA6">
              <w:rPr>
                <w:rFonts w:cs="Arial"/>
                <w:szCs w:val="24"/>
              </w:rPr>
              <w:t xml:space="preserve"> 201</w:t>
            </w:r>
            <w:r w:rsidR="000828BE">
              <w:rPr>
                <w:rFonts w:cs="Arial"/>
                <w:szCs w:val="24"/>
              </w:rPr>
              <w:t>7</w:t>
            </w:r>
            <w:r w:rsidR="004F7C96">
              <w:rPr>
                <w:rFonts w:cs="Arial"/>
                <w:szCs w:val="24"/>
              </w:rPr>
              <w:t>;</w:t>
            </w:r>
          </w:p>
          <w:p w:rsidR="00A86BA6" w:rsidRDefault="00A86BA6" w:rsidP="005254D4">
            <w:pPr>
              <w:pStyle w:val="ListParagraph"/>
              <w:numPr>
                <w:ilvl w:val="0"/>
                <w:numId w:val="36"/>
              </w:numPr>
              <w:rPr>
                <w:rFonts w:cs="Arial"/>
                <w:szCs w:val="24"/>
              </w:rPr>
            </w:pPr>
            <w:r>
              <w:rPr>
                <w:rFonts w:cs="Arial"/>
                <w:szCs w:val="24"/>
              </w:rPr>
              <w:t xml:space="preserve">Scottish Procurement letter </w:t>
            </w:r>
            <w:r w:rsidR="00382509">
              <w:rPr>
                <w:rFonts w:cs="Arial"/>
                <w:szCs w:val="24"/>
              </w:rPr>
              <w:t xml:space="preserve">in </w:t>
            </w:r>
            <w:r w:rsidR="007251CA">
              <w:rPr>
                <w:rFonts w:cs="Arial"/>
                <w:szCs w:val="24"/>
              </w:rPr>
              <w:t xml:space="preserve"> June 2016 to all </w:t>
            </w:r>
            <w:r>
              <w:rPr>
                <w:rFonts w:cs="Arial"/>
                <w:szCs w:val="24"/>
              </w:rPr>
              <w:t>central government Directors/Heads of Finance and Directors/Heads of Procurement</w:t>
            </w:r>
            <w:r w:rsidR="004F7C96">
              <w:rPr>
                <w:rFonts w:cs="Arial"/>
                <w:szCs w:val="24"/>
              </w:rPr>
              <w:t>;</w:t>
            </w:r>
          </w:p>
          <w:p w:rsidR="00A86BA6" w:rsidRDefault="00A86BA6" w:rsidP="005254D4">
            <w:pPr>
              <w:pStyle w:val="ListParagraph"/>
              <w:numPr>
                <w:ilvl w:val="0"/>
                <w:numId w:val="36"/>
              </w:numPr>
              <w:rPr>
                <w:rFonts w:cs="Arial"/>
                <w:szCs w:val="24"/>
              </w:rPr>
            </w:pPr>
            <w:r>
              <w:rPr>
                <w:rFonts w:cs="Arial"/>
                <w:szCs w:val="24"/>
              </w:rPr>
              <w:t>Central Government Annual Procurement Improvement Event on 23 March 2017</w:t>
            </w:r>
            <w:r w:rsidR="004F7C96">
              <w:rPr>
                <w:rFonts w:cs="Arial"/>
                <w:szCs w:val="24"/>
              </w:rPr>
              <w:t>;</w:t>
            </w:r>
            <w:r>
              <w:rPr>
                <w:rFonts w:cs="Arial"/>
                <w:szCs w:val="24"/>
              </w:rPr>
              <w:t xml:space="preserve"> </w:t>
            </w:r>
          </w:p>
          <w:p w:rsidR="00A86BA6" w:rsidRDefault="00A86BA6" w:rsidP="005254D4">
            <w:pPr>
              <w:pStyle w:val="ListParagraph"/>
              <w:numPr>
                <w:ilvl w:val="0"/>
                <w:numId w:val="36"/>
              </w:numPr>
              <w:rPr>
                <w:rFonts w:cs="Arial"/>
                <w:szCs w:val="24"/>
              </w:rPr>
            </w:pPr>
            <w:r>
              <w:rPr>
                <w:rFonts w:cs="Arial"/>
                <w:szCs w:val="24"/>
              </w:rPr>
              <w:t>Various face-to-face meetings with a number of central government bodies during 201</w:t>
            </w:r>
            <w:r w:rsidR="000828BE">
              <w:rPr>
                <w:rFonts w:cs="Arial"/>
                <w:szCs w:val="24"/>
              </w:rPr>
              <w:t>7</w:t>
            </w:r>
            <w:r w:rsidR="004F7C96">
              <w:rPr>
                <w:rFonts w:cs="Arial"/>
                <w:szCs w:val="24"/>
              </w:rPr>
              <w:t>;</w:t>
            </w:r>
          </w:p>
          <w:p w:rsidR="00A86BA6" w:rsidRDefault="00A86BA6" w:rsidP="005254D4">
            <w:pPr>
              <w:pStyle w:val="ListParagraph"/>
              <w:numPr>
                <w:ilvl w:val="0"/>
                <w:numId w:val="36"/>
              </w:numPr>
              <w:rPr>
                <w:rFonts w:cs="Arial"/>
                <w:szCs w:val="24"/>
              </w:rPr>
            </w:pPr>
            <w:r>
              <w:rPr>
                <w:rFonts w:cs="Arial"/>
                <w:szCs w:val="24"/>
              </w:rPr>
              <w:t>Regular updates to central government bodies currently using PECOS P2P</w:t>
            </w:r>
            <w:r w:rsidR="004F7C96">
              <w:rPr>
                <w:rFonts w:cs="Arial"/>
                <w:szCs w:val="24"/>
              </w:rPr>
              <w:t>;</w:t>
            </w:r>
          </w:p>
          <w:p w:rsidR="00A86BA6" w:rsidRDefault="00A86BA6" w:rsidP="005254D4">
            <w:pPr>
              <w:pStyle w:val="ListParagraph"/>
              <w:numPr>
                <w:ilvl w:val="0"/>
                <w:numId w:val="36"/>
              </w:numPr>
              <w:rPr>
                <w:rFonts w:cs="Arial"/>
                <w:szCs w:val="24"/>
              </w:rPr>
            </w:pPr>
            <w:r>
              <w:rPr>
                <w:rFonts w:cs="Arial"/>
                <w:szCs w:val="24"/>
              </w:rPr>
              <w:t>PECOS P2P Roadshows from 2014 to present</w:t>
            </w:r>
            <w:r w:rsidR="004F7C96">
              <w:rPr>
                <w:rFonts w:cs="Arial"/>
                <w:szCs w:val="24"/>
              </w:rPr>
              <w:t>; and</w:t>
            </w:r>
          </w:p>
          <w:p w:rsidR="00A75F9C" w:rsidRDefault="00A75F9C"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7D2A7F" w:rsidRDefault="00A86BA6" w:rsidP="005254D4">
            <w:pPr>
              <w:tabs>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There has also been </w:t>
            </w:r>
            <w:r w:rsidR="007D2A7F">
              <w:rPr>
                <w:rFonts w:cs="Arial"/>
                <w:sz w:val="24"/>
                <w:szCs w:val="24"/>
              </w:rPr>
              <w:t>regular engagement with</w:t>
            </w:r>
            <w:r>
              <w:rPr>
                <w:rFonts w:cs="Arial"/>
                <w:sz w:val="24"/>
                <w:szCs w:val="24"/>
              </w:rPr>
              <w:t xml:space="preserve"> colleagues from </w:t>
            </w:r>
            <w:r w:rsidR="005254D4">
              <w:rPr>
                <w:rFonts w:cs="Arial"/>
                <w:sz w:val="24"/>
                <w:szCs w:val="24"/>
              </w:rPr>
              <w:t xml:space="preserve">across </w:t>
            </w:r>
            <w:r>
              <w:rPr>
                <w:rFonts w:cs="Arial"/>
                <w:sz w:val="24"/>
                <w:szCs w:val="24"/>
              </w:rPr>
              <w:t xml:space="preserve">Scottish Procurement </w:t>
            </w:r>
            <w:r w:rsidR="005254D4">
              <w:rPr>
                <w:rFonts w:cs="Arial"/>
                <w:sz w:val="24"/>
                <w:szCs w:val="24"/>
              </w:rPr>
              <w:t xml:space="preserve">&amp; Commercial Directorate </w:t>
            </w:r>
            <w:r>
              <w:rPr>
                <w:rFonts w:cs="Arial"/>
                <w:sz w:val="24"/>
                <w:szCs w:val="24"/>
              </w:rPr>
              <w:t>and the Scottish Government Legal Directorate.</w:t>
            </w:r>
          </w:p>
          <w:p w:rsidR="001B0D45" w:rsidRDefault="001B0D45" w:rsidP="005254D4">
            <w:pPr>
              <w:tabs>
                <w:tab w:val="left" w:pos="2160"/>
                <w:tab w:val="left" w:pos="2880"/>
                <w:tab w:val="left" w:pos="4680"/>
                <w:tab w:val="left" w:pos="5400"/>
                <w:tab w:val="right" w:pos="9000"/>
              </w:tabs>
              <w:spacing w:line="240" w:lineRule="atLeast"/>
              <w:jc w:val="both"/>
              <w:rPr>
                <w:rFonts w:cs="Arial"/>
                <w:sz w:val="24"/>
                <w:szCs w:val="24"/>
              </w:rPr>
            </w:pPr>
          </w:p>
          <w:p w:rsidR="001B0D45" w:rsidRDefault="001B0D45" w:rsidP="005254D4">
            <w:pPr>
              <w:tabs>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lastRenderedPageBreak/>
              <w:t>The Scottish Government has also engaged extensively wi</w:t>
            </w:r>
            <w:r w:rsidR="00CC756F">
              <w:rPr>
                <w:rFonts w:cs="Arial"/>
                <w:sz w:val="24"/>
                <w:szCs w:val="24"/>
              </w:rPr>
              <w:t>th a</w:t>
            </w:r>
            <w:r>
              <w:rPr>
                <w:rFonts w:cs="Arial"/>
                <w:sz w:val="24"/>
                <w:szCs w:val="24"/>
              </w:rPr>
              <w:t>ll Scottish local authorities, universities, colleges, 3</w:t>
            </w:r>
            <w:r w:rsidRPr="001B0D45">
              <w:rPr>
                <w:rFonts w:cs="Arial"/>
                <w:sz w:val="24"/>
                <w:szCs w:val="24"/>
                <w:vertAlign w:val="superscript"/>
              </w:rPr>
              <w:t>rd</w:t>
            </w:r>
            <w:r>
              <w:rPr>
                <w:rFonts w:cs="Arial"/>
                <w:sz w:val="24"/>
                <w:szCs w:val="24"/>
              </w:rPr>
              <w:t xml:space="preserve"> sector and suppliers.</w:t>
            </w:r>
          </w:p>
          <w:p w:rsidR="007144F9" w:rsidRPr="00DD3B38" w:rsidRDefault="007144F9" w:rsidP="005254D4">
            <w:pPr>
              <w:tabs>
                <w:tab w:val="left" w:pos="2160"/>
                <w:tab w:val="left" w:pos="2880"/>
                <w:tab w:val="left" w:pos="4680"/>
                <w:tab w:val="left" w:pos="5400"/>
                <w:tab w:val="right" w:pos="9000"/>
              </w:tabs>
              <w:spacing w:line="240" w:lineRule="atLeast"/>
              <w:jc w:val="both"/>
              <w:rPr>
                <w:rFonts w:cs="Arial"/>
                <w:sz w:val="24"/>
                <w:szCs w:val="24"/>
              </w:rPr>
            </w:pPr>
          </w:p>
          <w:p w:rsidR="005636CC" w:rsidRDefault="0096546A" w:rsidP="003572AC">
            <w:pPr>
              <w:tabs>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Public Consultation</w:t>
            </w:r>
          </w:p>
          <w:p w:rsidR="000828BE" w:rsidRDefault="000828BE" w:rsidP="005254D4">
            <w:pPr>
              <w:tabs>
                <w:tab w:val="num" w:pos="709"/>
                <w:tab w:val="left" w:pos="2160"/>
                <w:tab w:val="left" w:pos="2880"/>
                <w:tab w:val="left" w:pos="4680"/>
                <w:tab w:val="left" w:pos="5400"/>
                <w:tab w:val="right" w:pos="9000"/>
              </w:tabs>
              <w:spacing w:line="240" w:lineRule="atLeast"/>
              <w:jc w:val="both"/>
              <w:rPr>
                <w:rFonts w:cs="Arial"/>
                <w:sz w:val="24"/>
                <w:szCs w:val="24"/>
              </w:rPr>
            </w:pPr>
          </w:p>
          <w:p w:rsidR="00B40F93" w:rsidRDefault="000828BE" w:rsidP="003572AC">
            <w:pPr>
              <w:tabs>
                <w:tab w:val="num" w:pos="709"/>
                <w:tab w:val="left" w:pos="2160"/>
                <w:tab w:val="left" w:pos="2880"/>
                <w:tab w:val="left" w:pos="4680"/>
                <w:tab w:val="left" w:pos="5400"/>
                <w:tab w:val="right" w:pos="9000"/>
              </w:tabs>
              <w:spacing w:line="240" w:lineRule="atLeast"/>
              <w:jc w:val="both"/>
              <w:rPr>
                <w:rFonts w:cs="Arial"/>
                <w:sz w:val="24"/>
                <w:szCs w:val="24"/>
              </w:rPr>
            </w:pPr>
            <w:r w:rsidRPr="0098701A">
              <w:rPr>
                <w:rFonts w:cs="Arial"/>
                <w:sz w:val="24"/>
                <w:szCs w:val="24"/>
              </w:rPr>
              <w:t>We expect c</w:t>
            </w:r>
            <w:r w:rsidR="00EC10C5" w:rsidRPr="0098701A">
              <w:rPr>
                <w:rFonts w:cs="Arial"/>
                <w:sz w:val="24"/>
                <w:szCs w:val="24"/>
              </w:rPr>
              <w:t xml:space="preserve">onsultation to take place </w:t>
            </w:r>
            <w:r w:rsidR="005254D4">
              <w:rPr>
                <w:rFonts w:cs="Arial"/>
                <w:sz w:val="24"/>
                <w:szCs w:val="24"/>
              </w:rPr>
              <w:t xml:space="preserve">from </w:t>
            </w:r>
            <w:r w:rsidR="00A62FE6" w:rsidRPr="0098701A">
              <w:rPr>
                <w:rFonts w:cs="Arial"/>
                <w:sz w:val="24"/>
                <w:szCs w:val="24"/>
              </w:rPr>
              <w:t>Ju</w:t>
            </w:r>
            <w:r w:rsidR="00710AF2">
              <w:rPr>
                <w:rFonts w:cs="Arial"/>
                <w:sz w:val="24"/>
                <w:szCs w:val="24"/>
              </w:rPr>
              <w:t>ly</w:t>
            </w:r>
            <w:r w:rsidR="00A62FE6" w:rsidRPr="0098701A">
              <w:rPr>
                <w:rFonts w:cs="Arial"/>
                <w:sz w:val="24"/>
                <w:szCs w:val="24"/>
              </w:rPr>
              <w:t xml:space="preserve"> </w:t>
            </w:r>
            <w:r w:rsidR="005254D4">
              <w:rPr>
                <w:rFonts w:cs="Arial"/>
                <w:sz w:val="24"/>
                <w:szCs w:val="24"/>
              </w:rPr>
              <w:t>to September 2018 (minimum of 12 weeks).</w:t>
            </w:r>
          </w:p>
          <w:p w:rsidR="00B40F93" w:rsidRPr="00DD3B38" w:rsidRDefault="00B40F93" w:rsidP="005254D4">
            <w:pPr>
              <w:tabs>
                <w:tab w:val="num" w:pos="709"/>
                <w:tab w:val="left" w:pos="2160"/>
                <w:tab w:val="left" w:pos="2880"/>
                <w:tab w:val="left" w:pos="4680"/>
                <w:tab w:val="left" w:pos="5400"/>
                <w:tab w:val="right" w:pos="9000"/>
              </w:tabs>
              <w:spacing w:line="240" w:lineRule="atLeast"/>
              <w:jc w:val="both"/>
              <w:rPr>
                <w:rFonts w:cs="Arial"/>
                <w:b/>
                <w:sz w:val="24"/>
                <w:szCs w:val="24"/>
              </w:rPr>
            </w:pPr>
          </w:p>
          <w:p w:rsidR="00130532" w:rsidRDefault="00130532" w:rsidP="003572AC">
            <w:pPr>
              <w:tabs>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Business</w:t>
            </w:r>
          </w:p>
          <w:p w:rsidR="00745009" w:rsidRDefault="00745009" w:rsidP="005254D4">
            <w:pPr>
              <w:tabs>
                <w:tab w:val="left" w:pos="2160"/>
                <w:tab w:val="left" w:pos="2880"/>
                <w:tab w:val="left" w:pos="4680"/>
                <w:tab w:val="left" w:pos="5400"/>
                <w:tab w:val="right" w:pos="9000"/>
              </w:tabs>
              <w:spacing w:line="240" w:lineRule="atLeast"/>
              <w:ind w:left="709"/>
              <w:jc w:val="both"/>
              <w:rPr>
                <w:rFonts w:cs="Arial"/>
                <w:b/>
                <w:sz w:val="24"/>
                <w:szCs w:val="24"/>
              </w:rPr>
            </w:pPr>
          </w:p>
          <w:p w:rsidR="00CC756F" w:rsidRDefault="00B47654" w:rsidP="003572AC">
            <w:pPr>
              <w:tabs>
                <w:tab w:val="left" w:pos="2160"/>
                <w:tab w:val="left" w:pos="2880"/>
                <w:tab w:val="left" w:pos="4680"/>
                <w:tab w:val="left" w:pos="5400"/>
                <w:tab w:val="right" w:pos="9000"/>
              </w:tabs>
              <w:spacing w:line="240" w:lineRule="atLeast"/>
              <w:jc w:val="both"/>
              <w:rPr>
                <w:rFonts w:cs="Arial"/>
                <w:sz w:val="24"/>
                <w:szCs w:val="24"/>
              </w:rPr>
            </w:pPr>
            <w:r>
              <w:rPr>
                <w:sz w:val="24"/>
                <w:szCs w:val="24"/>
              </w:rPr>
              <w:t>T</w:t>
            </w:r>
            <w:r w:rsidR="007F7A12" w:rsidRPr="007F41B7">
              <w:rPr>
                <w:sz w:val="24"/>
                <w:szCs w:val="24"/>
              </w:rPr>
              <w:t xml:space="preserve">he Directive covers those contracts that are regulated by the </w:t>
            </w:r>
            <w:r w:rsidR="00953938">
              <w:rPr>
                <w:sz w:val="24"/>
                <w:szCs w:val="24"/>
              </w:rPr>
              <w:t xml:space="preserve">European </w:t>
            </w:r>
            <w:r w:rsidR="007F7A12" w:rsidRPr="007F41B7">
              <w:rPr>
                <w:sz w:val="24"/>
                <w:szCs w:val="24"/>
              </w:rPr>
              <w:t>Public Procurement Directives</w:t>
            </w:r>
            <w:r w:rsidR="00953938">
              <w:rPr>
                <w:sz w:val="24"/>
                <w:szCs w:val="24"/>
              </w:rPr>
              <w:t xml:space="preserve"> and advertised in the Official Journal of the European Union (OJEU).</w:t>
            </w:r>
            <w:r>
              <w:rPr>
                <w:sz w:val="24"/>
                <w:szCs w:val="24"/>
              </w:rPr>
              <w:t xml:space="preserve"> </w:t>
            </w:r>
            <w:r w:rsidR="00953938">
              <w:rPr>
                <w:sz w:val="24"/>
                <w:szCs w:val="24"/>
              </w:rPr>
              <w:t>T</w:t>
            </w:r>
            <w:r w:rsidR="007F7A12" w:rsidRPr="007F41B7">
              <w:rPr>
                <w:sz w:val="24"/>
                <w:szCs w:val="24"/>
              </w:rPr>
              <w:t xml:space="preserve">he </w:t>
            </w:r>
            <w:r w:rsidR="007F7A12">
              <w:rPr>
                <w:sz w:val="24"/>
                <w:szCs w:val="24"/>
              </w:rPr>
              <w:t xml:space="preserve">Scottish Government </w:t>
            </w:r>
            <w:r w:rsidR="00CC756F" w:rsidRPr="007F41B7">
              <w:rPr>
                <w:sz w:val="24"/>
                <w:szCs w:val="24"/>
              </w:rPr>
              <w:t>is centrally co-ordinating the adop</w:t>
            </w:r>
            <w:r w:rsidR="00CC756F">
              <w:rPr>
                <w:sz w:val="24"/>
                <w:szCs w:val="24"/>
              </w:rPr>
              <w:t xml:space="preserve">tion of all </w:t>
            </w:r>
            <w:r>
              <w:rPr>
                <w:sz w:val="24"/>
                <w:szCs w:val="24"/>
              </w:rPr>
              <w:t xml:space="preserve">suppliers </w:t>
            </w:r>
            <w:r w:rsidR="003572AC">
              <w:rPr>
                <w:sz w:val="24"/>
                <w:szCs w:val="24"/>
              </w:rPr>
              <w:t>of</w:t>
            </w:r>
            <w:r w:rsidR="00953938">
              <w:rPr>
                <w:sz w:val="24"/>
                <w:szCs w:val="24"/>
              </w:rPr>
              <w:t xml:space="preserve"> these</w:t>
            </w:r>
            <w:r w:rsidR="00CC756F" w:rsidRPr="007F41B7">
              <w:rPr>
                <w:sz w:val="24"/>
                <w:szCs w:val="24"/>
              </w:rPr>
              <w:t xml:space="preserve"> </w:t>
            </w:r>
            <w:r>
              <w:rPr>
                <w:sz w:val="24"/>
                <w:szCs w:val="24"/>
              </w:rPr>
              <w:t>contracts</w:t>
            </w:r>
            <w:r w:rsidR="00CC756F" w:rsidRPr="007F41B7">
              <w:rPr>
                <w:sz w:val="24"/>
                <w:szCs w:val="24"/>
              </w:rPr>
              <w:t xml:space="preserve"> as these will deliver the biggest</w:t>
            </w:r>
            <w:r w:rsidR="00CC756F">
              <w:rPr>
                <w:sz w:val="24"/>
                <w:szCs w:val="24"/>
              </w:rPr>
              <w:t xml:space="preserve"> transactional efficiency savings and</w:t>
            </w:r>
            <w:r w:rsidR="00CC756F" w:rsidRPr="007F41B7">
              <w:rPr>
                <w:sz w:val="24"/>
                <w:szCs w:val="24"/>
              </w:rPr>
              <w:t xml:space="preserve"> benefits across the Scottish public sector.  </w:t>
            </w:r>
          </w:p>
          <w:p w:rsidR="00CC756F" w:rsidRDefault="00CC756F" w:rsidP="003572AC">
            <w:pPr>
              <w:tabs>
                <w:tab w:val="left" w:pos="2160"/>
                <w:tab w:val="left" w:pos="2880"/>
                <w:tab w:val="left" w:pos="4680"/>
                <w:tab w:val="left" w:pos="5400"/>
                <w:tab w:val="right" w:pos="9000"/>
              </w:tabs>
              <w:spacing w:line="240" w:lineRule="atLeast"/>
              <w:jc w:val="both"/>
              <w:rPr>
                <w:rFonts w:cs="Arial"/>
                <w:sz w:val="24"/>
                <w:szCs w:val="24"/>
              </w:rPr>
            </w:pPr>
          </w:p>
          <w:p w:rsidR="00B548B8" w:rsidRPr="007F41B7" w:rsidRDefault="007144F9" w:rsidP="003572AC">
            <w:pPr>
              <w:tabs>
                <w:tab w:val="left" w:pos="2160"/>
                <w:tab w:val="left" w:pos="2880"/>
                <w:tab w:val="left" w:pos="4680"/>
                <w:tab w:val="left" w:pos="5400"/>
                <w:tab w:val="right" w:pos="9000"/>
              </w:tabs>
              <w:spacing w:line="240" w:lineRule="atLeast"/>
              <w:jc w:val="both"/>
              <w:rPr>
                <w:sz w:val="24"/>
                <w:szCs w:val="24"/>
              </w:rPr>
            </w:pPr>
            <w:r w:rsidRPr="007F41B7">
              <w:rPr>
                <w:rFonts w:cs="Arial"/>
                <w:sz w:val="24"/>
                <w:szCs w:val="24"/>
              </w:rPr>
              <w:t>As part of th</w:t>
            </w:r>
            <w:r w:rsidR="00CC756F">
              <w:rPr>
                <w:rFonts w:cs="Arial"/>
                <w:sz w:val="24"/>
                <w:szCs w:val="24"/>
              </w:rPr>
              <w:t>e</w:t>
            </w:r>
            <w:r w:rsidRPr="007F41B7">
              <w:rPr>
                <w:rFonts w:cs="Arial"/>
                <w:sz w:val="24"/>
                <w:szCs w:val="24"/>
              </w:rPr>
              <w:t xml:space="preserve"> </w:t>
            </w:r>
            <w:r w:rsidR="00CC756F">
              <w:rPr>
                <w:rFonts w:cs="Arial"/>
                <w:sz w:val="24"/>
                <w:szCs w:val="24"/>
              </w:rPr>
              <w:t xml:space="preserve">wider stakeholder </w:t>
            </w:r>
            <w:r w:rsidRPr="007F41B7">
              <w:rPr>
                <w:rFonts w:cs="Arial"/>
                <w:sz w:val="24"/>
                <w:szCs w:val="24"/>
              </w:rPr>
              <w:t>engagement work</w:t>
            </w:r>
            <w:r w:rsidR="00CC756F">
              <w:rPr>
                <w:rFonts w:cs="Arial"/>
                <w:sz w:val="24"/>
                <w:szCs w:val="24"/>
              </w:rPr>
              <w:t xml:space="preserve"> outlined above</w:t>
            </w:r>
            <w:r w:rsidR="004F7C96">
              <w:rPr>
                <w:rFonts w:cs="Arial"/>
                <w:sz w:val="24"/>
                <w:szCs w:val="24"/>
              </w:rPr>
              <w:t>,</w:t>
            </w:r>
            <w:r w:rsidRPr="007F41B7">
              <w:rPr>
                <w:sz w:val="24"/>
                <w:szCs w:val="24"/>
              </w:rPr>
              <w:t xml:space="preserve"> t</w:t>
            </w:r>
            <w:r w:rsidR="000F538A">
              <w:rPr>
                <w:sz w:val="24"/>
                <w:szCs w:val="24"/>
              </w:rPr>
              <w:t>he S</w:t>
            </w:r>
            <w:r w:rsidR="004F7C96">
              <w:rPr>
                <w:sz w:val="24"/>
                <w:szCs w:val="24"/>
              </w:rPr>
              <w:t xml:space="preserve">cottish </w:t>
            </w:r>
            <w:r w:rsidR="000F538A">
              <w:rPr>
                <w:sz w:val="24"/>
                <w:szCs w:val="24"/>
              </w:rPr>
              <w:t>G</w:t>
            </w:r>
            <w:r w:rsidR="004F7C96">
              <w:rPr>
                <w:sz w:val="24"/>
                <w:szCs w:val="24"/>
              </w:rPr>
              <w:t>overnment</w:t>
            </w:r>
            <w:r w:rsidR="00CC756F">
              <w:rPr>
                <w:sz w:val="24"/>
                <w:szCs w:val="24"/>
              </w:rPr>
              <w:t xml:space="preserve"> has also engaged with business including</w:t>
            </w:r>
            <w:r w:rsidR="005254D4">
              <w:rPr>
                <w:sz w:val="24"/>
                <w:szCs w:val="24"/>
              </w:rPr>
              <w:t xml:space="preserve"> Scottish Chambers of Commerce and the </w:t>
            </w:r>
            <w:r w:rsidR="00CC756F">
              <w:rPr>
                <w:sz w:val="24"/>
                <w:szCs w:val="24"/>
              </w:rPr>
              <w:t>Federation of Small Businesses.</w:t>
            </w:r>
          </w:p>
          <w:p w:rsidR="00745009" w:rsidRDefault="00745009" w:rsidP="005254D4">
            <w:pPr>
              <w:tabs>
                <w:tab w:val="num" w:pos="709"/>
                <w:tab w:val="left" w:pos="1440"/>
                <w:tab w:val="left" w:pos="2160"/>
                <w:tab w:val="left" w:pos="2880"/>
                <w:tab w:val="left" w:pos="4680"/>
                <w:tab w:val="left" w:pos="5400"/>
                <w:tab w:val="right" w:pos="9000"/>
              </w:tabs>
              <w:spacing w:line="240" w:lineRule="atLeast"/>
              <w:jc w:val="both"/>
              <w:rPr>
                <w:rFonts w:cs="Arial"/>
                <w:sz w:val="24"/>
                <w:szCs w:val="24"/>
              </w:rPr>
            </w:pPr>
          </w:p>
          <w:p w:rsidR="00DD1E3E" w:rsidRPr="00DD3B38" w:rsidRDefault="00DD1E3E" w:rsidP="005254D4">
            <w:pPr>
              <w:tabs>
                <w:tab w:val="num" w:pos="709"/>
                <w:tab w:val="left" w:pos="1440"/>
                <w:tab w:val="left" w:pos="2160"/>
                <w:tab w:val="left" w:pos="2880"/>
                <w:tab w:val="left" w:pos="4680"/>
                <w:tab w:val="left" w:pos="5400"/>
                <w:tab w:val="right" w:pos="9000"/>
              </w:tabs>
              <w:spacing w:line="240" w:lineRule="atLeast"/>
              <w:ind w:left="709"/>
              <w:jc w:val="both"/>
              <w:rPr>
                <w:rFonts w:cs="Arial"/>
                <w:b/>
                <w:sz w:val="24"/>
                <w:szCs w:val="24"/>
              </w:rPr>
            </w:pPr>
          </w:p>
        </w:tc>
      </w:tr>
      <w:tr w:rsidR="0096546A" w:rsidRPr="00DD3B38" w:rsidTr="00FF0EE2">
        <w:tc>
          <w:tcPr>
            <w:tcW w:w="5000" w:type="pct"/>
            <w:shd w:val="clear" w:color="auto" w:fill="auto"/>
          </w:tcPr>
          <w:p w:rsidR="0096546A" w:rsidRPr="007F41B7" w:rsidRDefault="0096546A" w:rsidP="005254D4">
            <w:pPr>
              <w:pStyle w:val="ListParagraph"/>
              <w:numPr>
                <w:ilvl w:val="0"/>
                <w:numId w:val="34"/>
              </w:numPr>
              <w:rPr>
                <w:rFonts w:cs="Arial"/>
                <w:b/>
                <w:szCs w:val="24"/>
              </w:rPr>
            </w:pPr>
            <w:r w:rsidRPr="007F41B7">
              <w:rPr>
                <w:rFonts w:cs="Arial"/>
                <w:b/>
                <w:szCs w:val="24"/>
              </w:rPr>
              <w:lastRenderedPageBreak/>
              <w:t>Options</w:t>
            </w:r>
            <w:r w:rsidR="00E1039A" w:rsidRPr="007F41B7">
              <w:rPr>
                <w:rFonts w:cs="Arial"/>
                <w:b/>
                <w:szCs w:val="24"/>
              </w:rPr>
              <w:t xml:space="preserve"> </w:t>
            </w:r>
          </w:p>
          <w:p w:rsidR="00A851AC" w:rsidRDefault="00A851AC" w:rsidP="005254D4">
            <w:pPr>
              <w:tabs>
                <w:tab w:val="left" w:pos="2160"/>
                <w:tab w:val="left" w:pos="2880"/>
                <w:tab w:val="left" w:pos="4680"/>
                <w:tab w:val="left" w:pos="5400"/>
                <w:tab w:val="right" w:pos="9000"/>
              </w:tabs>
              <w:spacing w:line="240" w:lineRule="atLeast"/>
              <w:jc w:val="both"/>
              <w:rPr>
                <w:rFonts w:cs="Arial"/>
                <w:sz w:val="24"/>
                <w:szCs w:val="24"/>
              </w:rPr>
            </w:pPr>
          </w:p>
          <w:p w:rsidR="00236B7D" w:rsidRDefault="004F7C96" w:rsidP="005254D4">
            <w:pPr>
              <w:tabs>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Scottish </w:t>
            </w:r>
            <w:r w:rsidR="00382509">
              <w:rPr>
                <w:rFonts w:cs="Arial"/>
                <w:sz w:val="24"/>
                <w:szCs w:val="24"/>
              </w:rPr>
              <w:t>contracting authorities</w:t>
            </w:r>
            <w:r w:rsidR="00A62FE6">
              <w:rPr>
                <w:rFonts w:cs="Arial"/>
                <w:sz w:val="24"/>
                <w:szCs w:val="24"/>
              </w:rPr>
              <w:t xml:space="preserve"> </w:t>
            </w:r>
            <w:r w:rsidR="000707D1">
              <w:rPr>
                <w:rFonts w:cs="Arial"/>
                <w:sz w:val="24"/>
                <w:szCs w:val="24"/>
              </w:rPr>
              <w:t>must</w:t>
            </w:r>
            <w:r>
              <w:rPr>
                <w:rFonts w:cs="Arial"/>
                <w:sz w:val="24"/>
                <w:szCs w:val="24"/>
              </w:rPr>
              <w:t xml:space="preserve"> demonstrate compliance with the Directive </w:t>
            </w:r>
            <w:r w:rsidR="00B47654">
              <w:rPr>
                <w:rFonts w:cs="Arial"/>
                <w:sz w:val="24"/>
                <w:szCs w:val="24"/>
              </w:rPr>
              <w:t xml:space="preserve">within </w:t>
            </w:r>
            <w:r>
              <w:rPr>
                <w:rFonts w:cs="Arial"/>
                <w:sz w:val="24"/>
                <w:szCs w:val="24"/>
              </w:rPr>
              <w:t>the required timescale</w:t>
            </w:r>
            <w:r w:rsidR="00B47654">
              <w:rPr>
                <w:rFonts w:cs="Arial"/>
                <w:sz w:val="24"/>
                <w:szCs w:val="24"/>
              </w:rPr>
              <w:t>s</w:t>
            </w:r>
            <w:r w:rsidR="000707D1">
              <w:rPr>
                <w:rFonts w:cs="Arial"/>
                <w:sz w:val="24"/>
                <w:szCs w:val="24"/>
              </w:rPr>
              <w:t xml:space="preserve"> and be in a position to </w:t>
            </w:r>
            <w:r w:rsidR="00614252">
              <w:rPr>
                <w:rFonts w:cs="Arial"/>
                <w:sz w:val="24"/>
                <w:szCs w:val="24"/>
              </w:rPr>
              <w:t xml:space="preserve">automatically </w:t>
            </w:r>
            <w:r w:rsidR="000707D1">
              <w:rPr>
                <w:rFonts w:cs="Arial"/>
                <w:sz w:val="24"/>
                <w:szCs w:val="24"/>
              </w:rPr>
              <w:t>receive, process and pay electronic invoices</w:t>
            </w:r>
            <w:r w:rsidR="0023671D">
              <w:rPr>
                <w:rFonts w:cs="Arial"/>
                <w:sz w:val="24"/>
                <w:szCs w:val="24"/>
              </w:rPr>
              <w:t xml:space="preserve"> for any</w:t>
            </w:r>
            <w:r w:rsidR="00614252">
              <w:rPr>
                <w:rFonts w:cs="Arial"/>
                <w:sz w:val="24"/>
                <w:szCs w:val="24"/>
              </w:rPr>
              <w:t xml:space="preserve"> contract that is awarded</w:t>
            </w:r>
            <w:r w:rsidR="0023671D">
              <w:rPr>
                <w:rFonts w:cs="Arial"/>
                <w:sz w:val="24"/>
                <w:szCs w:val="24"/>
              </w:rPr>
              <w:t xml:space="preserve"> above the EU </w:t>
            </w:r>
            <w:r>
              <w:rPr>
                <w:rFonts w:cs="Arial"/>
                <w:sz w:val="24"/>
                <w:szCs w:val="24"/>
              </w:rPr>
              <w:t>t</w:t>
            </w:r>
            <w:r w:rsidR="0023671D">
              <w:rPr>
                <w:rFonts w:cs="Arial"/>
                <w:sz w:val="24"/>
                <w:szCs w:val="24"/>
              </w:rPr>
              <w:t>hresholds</w:t>
            </w:r>
            <w:r w:rsidR="000707D1">
              <w:rPr>
                <w:rFonts w:cs="Arial"/>
                <w:sz w:val="24"/>
                <w:szCs w:val="24"/>
              </w:rPr>
              <w:t>.</w:t>
            </w:r>
          </w:p>
          <w:p w:rsidR="00236B7D" w:rsidRDefault="00236B7D" w:rsidP="005254D4">
            <w:pPr>
              <w:tabs>
                <w:tab w:val="left" w:pos="2160"/>
                <w:tab w:val="left" w:pos="2880"/>
                <w:tab w:val="left" w:pos="4680"/>
                <w:tab w:val="left" w:pos="5400"/>
                <w:tab w:val="right" w:pos="9000"/>
              </w:tabs>
              <w:spacing w:line="240" w:lineRule="atLeast"/>
              <w:jc w:val="both"/>
              <w:rPr>
                <w:rFonts w:cs="Arial"/>
                <w:sz w:val="24"/>
                <w:szCs w:val="24"/>
              </w:rPr>
            </w:pPr>
          </w:p>
          <w:p w:rsidR="009012DB" w:rsidRDefault="00ED5746" w:rsidP="005254D4">
            <w:pPr>
              <w:tabs>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However, some</w:t>
            </w:r>
            <w:r w:rsidR="004F7C96">
              <w:rPr>
                <w:rFonts w:cs="Arial"/>
                <w:sz w:val="24"/>
                <w:szCs w:val="24"/>
              </w:rPr>
              <w:t xml:space="preserve"> </w:t>
            </w:r>
            <w:r>
              <w:rPr>
                <w:rFonts w:cs="Arial"/>
                <w:sz w:val="24"/>
                <w:szCs w:val="24"/>
              </w:rPr>
              <w:t>S</w:t>
            </w:r>
            <w:r w:rsidR="004F7C96">
              <w:rPr>
                <w:rFonts w:cs="Arial"/>
                <w:sz w:val="24"/>
                <w:szCs w:val="24"/>
              </w:rPr>
              <w:t>cottish pubic bodies may decide to do nothing</w:t>
            </w:r>
            <w:r>
              <w:rPr>
                <w:rFonts w:cs="Arial"/>
                <w:sz w:val="24"/>
                <w:szCs w:val="24"/>
              </w:rPr>
              <w:t xml:space="preserve"> for a number of reasons including: the cost to deliver eInvoicing capability within exi</w:t>
            </w:r>
            <w:r w:rsidR="00B47654">
              <w:rPr>
                <w:rFonts w:cs="Arial"/>
                <w:sz w:val="24"/>
                <w:szCs w:val="24"/>
              </w:rPr>
              <w:t>s</w:t>
            </w:r>
            <w:r w:rsidR="005254D4">
              <w:rPr>
                <w:rFonts w:cs="Arial"/>
                <w:sz w:val="24"/>
                <w:szCs w:val="24"/>
              </w:rPr>
              <w:t xml:space="preserve">ting finance systems </w:t>
            </w:r>
            <w:r>
              <w:rPr>
                <w:rFonts w:cs="Arial"/>
                <w:sz w:val="24"/>
                <w:szCs w:val="24"/>
              </w:rPr>
              <w:t>or their invoice volumes are too low to merit any technology changes and associated costs</w:t>
            </w:r>
            <w:r w:rsidR="004F7C96">
              <w:rPr>
                <w:rFonts w:cs="Arial"/>
                <w:sz w:val="24"/>
                <w:szCs w:val="24"/>
              </w:rPr>
              <w:t xml:space="preserve">.  </w:t>
            </w:r>
          </w:p>
          <w:p w:rsidR="004F7C96" w:rsidRPr="00DD3B38" w:rsidRDefault="004F7C96" w:rsidP="005254D4">
            <w:pPr>
              <w:tabs>
                <w:tab w:val="left" w:pos="2160"/>
                <w:tab w:val="left" w:pos="2880"/>
                <w:tab w:val="left" w:pos="4680"/>
                <w:tab w:val="left" w:pos="5400"/>
                <w:tab w:val="right" w:pos="9000"/>
              </w:tabs>
              <w:spacing w:line="240" w:lineRule="atLeast"/>
              <w:jc w:val="both"/>
              <w:rPr>
                <w:rFonts w:cs="Arial"/>
                <w:sz w:val="24"/>
                <w:szCs w:val="24"/>
              </w:rPr>
            </w:pPr>
          </w:p>
          <w:p w:rsidR="00A851AC" w:rsidRDefault="00D51B0B"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Sectors and groups affected</w:t>
            </w:r>
          </w:p>
          <w:p w:rsidR="009218FB" w:rsidRDefault="009218FB"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364622" w:rsidRDefault="004F7C96"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b/>
                <w:sz w:val="24"/>
                <w:szCs w:val="24"/>
              </w:rPr>
              <w:t xml:space="preserve">Scottish </w:t>
            </w:r>
            <w:r w:rsidR="00382509">
              <w:rPr>
                <w:rFonts w:cs="Arial"/>
                <w:b/>
                <w:sz w:val="24"/>
                <w:szCs w:val="24"/>
              </w:rPr>
              <w:t>contracting authorities</w:t>
            </w:r>
            <w:r>
              <w:rPr>
                <w:rFonts w:cs="Arial"/>
                <w:b/>
                <w:sz w:val="24"/>
                <w:szCs w:val="24"/>
              </w:rPr>
              <w:t>:</w:t>
            </w:r>
            <w:r w:rsidR="00A616A4">
              <w:rPr>
                <w:rFonts w:cs="Arial"/>
                <w:sz w:val="24"/>
                <w:szCs w:val="24"/>
              </w:rPr>
              <w:t xml:space="preserve"> </w:t>
            </w:r>
            <w:r w:rsidR="00382509">
              <w:rPr>
                <w:rFonts w:cs="Arial"/>
                <w:sz w:val="24"/>
                <w:szCs w:val="24"/>
              </w:rPr>
              <w:t>contracting authorities</w:t>
            </w:r>
            <w:r w:rsidR="003572AC">
              <w:rPr>
                <w:rFonts w:cs="Arial"/>
                <w:sz w:val="24"/>
                <w:szCs w:val="24"/>
              </w:rPr>
              <w:t xml:space="preserve"> must demonstrate compliance </w:t>
            </w:r>
            <w:r w:rsidR="00A851AC">
              <w:rPr>
                <w:rFonts w:cs="Arial"/>
                <w:sz w:val="24"/>
                <w:szCs w:val="24"/>
              </w:rPr>
              <w:t xml:space="preserve">with the </w:t>
            </w:r>
            <w:r w:rsidR="00EF389F">
              <w:rPr>
                <w:rFonts w:cs="Arial"/>
                <w:sz w:val="24"/>
                <w:szCs w:val="24"/>
              </w:rPr>
              <w:t xml:space="preserve">requirements of the </w:t>
            </w:r>
            <w:r w:rsidR="005B7DB8">
              <w:rPr>
                <w:rFonts w:cs="Arial"/>
                <w:sz w:val="24"/>
                <w:szCs w:val="24"/>
              </w:rPr>
              <w:t>D</w:t>
            </w:r>
            <w:r w:rsidR="000F538A">
              <w:rPr>
                <w:rFonts w:cs="Arial"/>
                <w:sz w:val="24"/>
                <w:szCs w:val="24"/>
              </w:rPr>
              <w:t>irective</w:t>
            </w:r>
            <w:r w:rsidR="003572AC">
              <w:rPr>
                <w:rFonts w:cs="Arial"/>
                <w:sz w:val="24"/>
                <w:szCs w:val="24"/>
              </w:rPr>
              <w:t xml:space="preserve"> in the timescales stated</w:t>
            </w:r>
            <w:r w:rsidR="000F538A">
              <w:rPr>
                <w:rFonts w:cs="Arial"/>
                <w:sz w:val="24"/>
                <w:szCs w:val="24"/>
              </w:rPr>
              <w:t xml:space="preserve">. </w:t>
            </w:r>
          </w:p>
          <w:p w:rsidR="00610658" w:rsidRDefault="00610658"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C81F29" w:rsidRDefault="009218FB"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sidRPr="009923BB">
              <w:rPr>
                <w:rFonts w:cs="Arial"/>
                <w:b/>
                <w:sz w:val="24"/>
                <w:szCs w:val="24"/>
              </w:rPr>
              <w:t>Suppliers</w:t>
            </w:r>
            <w:r w:rsidR="004F7C96">
              <w:rPr>
                <w:rFonts w:cs="Arial"/>
                <w:b/>
                <w:sz w:val="24"/>
                <w:szCs w:val="24"/>
              </w:rPr>
              <w:t>:</w:t>
            </w:r>
            <w:r w:rsidR="00EF389F">
              <w:rPr>
                <w:rFonts w:cs="Arial"/>
                <w:b/>
                <w:sz w:val="24"/>
                <w:szCs w:val="24"/>
              </w:rPr>
              <w:t xml:space="preserve"> </w:t>
            </w:r>
            <w:r w:rsidR="00EF389F" w:rsidRPr="00EF389F">
              <w:rPr>
                <w:rFonts w:cs="Arial"/>
                <w:sz w:val="24"/>
                <w:szCs w:val="24"/>
              </w:rPr>
              <w:t>it is not mandatory for suppliers to comply with the requirements of</w:t>
            </w:r>
            <w:r w:rsidR="004F7C96">
              <w:rPr>
                <w:rFonts w:cs="Arial"/>
                <w:b/>
                <w:sz w:val="24"/>
                <w:szCs w:val="24"/>
              </w:rPr>
              <w:t xml:space="preserve"> </w:t>
            </w:r>
            <w:r w:rsidR="004F7C96">
              <w:rPr>
                <w:rFonts w:cs="Arial"/>
                <w:sz w:val="24"/>
                <w:szCs w:val="24"/>
              </w:rPr>
              <w:t>the</w:t>
            </w:r>
            <w:r w:rsidR="00DD15E3">
              <w:rPr>
                <w:rFonts w:cs="Arial"/>
                <w:sz w:val="24"/>
                <w:szCs w:val="24"/>
              </w:rPr>
              <w:t xml:space="preserve"> </w:t>
            </w:r>
            <w:r w:rsidR="00EF389F">
              <w:rPr>
                <w:rFonts w:cs="Arial"/>
                <w:sz w:val="24"/>
                <w:szCs w:val="24"/>
              </w:rPr>
              <w:t>Directive</w:t>
            </w:r>
            <w:r w:rsidR="00B94E86">
              <w:rPr>
                <w:rFonts w:cs="Arial"/>
                <w:sz w:val="24"/>
                <w:szCs w:val="24"/>
              </w:rPr>
              <w:t>.</w:t>
            </w:r>
            <w:r w:rsidR="00C03798">
              <w:rPr>
                <w:rFonts w:cs="Arial"/>
                <w:sz w:val="24"/>
                <w:szCs w:val="24"/>
              </w:rPr>
              <w:t xml:space="preserve"> </w:t>
            </w:r>
            <w:r w:rsidR="00B94E86">
              <w:rPr>
                <w:rFonts w:cs="Arial"/>
                <w:sz w:val="24"/>
                <w:szCs w:val="24"/>
              </w:rPr>
              <w:t>H</w:t>
            </w:r>
            <w:r w:rsidR="00C03798">
              <w:rPr>
                <w:rFonts w:cs="Arial"/>
                <w:sz w:val="24"/>
                <w:szCs w:val="24"/>
              </w:rPr>
              <w:t>owever</w:t>
            </w:r>
            <w:r w:rsidR="00B94E86">
              <w:rPr>
                <w:rFonts w:cs="Arial"/>
                <w:sz w:val="24"/>
                <w:szCs w:val="24"/>
              </w:rPr>
              <w:t>,</w:t>
            </w:r>
            <w:r w:rsidR="00C03798">
              <w:rPr>
                <w:rFonts w:cs="Arial"/>
                <w:sz w:val="24"/>
                <w:szCs w:val="24"/>
              </w:rPr>
              <w:t xml:space="preserve"> </w:t>
            </w:r>
            <w:r w:rsidR="00DD15E3">
              <w:rPr>
                <w:rFonts w:cs="Arial"/>
                <w:sz w:val="24"/>
                <w:szCs w:val="24"/>
              </w:rPr>
              <w:t xml:space="preserve">due to the key business </w:t>
            </w:r>
            <w:r w:rsidR="00EF389F">
              <w:rPr>
                <w:rFonts w:cs="Arial"/>
                <w:sz w:val="24"/>
                <w:szCs w:val="24"/>
              </w:rPr>
              <w:t xml:space="preserve">efficiency </w:t>
            </w:r>
            <w:r w:rsidR="00DD15E3">
              <w:rPr>
                <w:rFonts w:cs="Arial"/>
                <w:sz w:val="24"/>
                <w:szCs w:val="24"/>
              </w:rPr>
              <w:t xml:space="preserve">benefits that </w:t>
            </w:r>
            <w:r w:rsidR="00EF389F">
              <w:rPr>
                <w:rFonts w:cs="Arial"/>
                <w:sz w:val="24"/>
                <w:szCs w:val="24"/>
              </w:rPr>
              <w:t>could</w:t>
            </w:r>
            <w:r w:rsidR="00DD15E3">
              <w:rPr>
                <w:rFonts w:cs="Arial"/>
                <w:sz w:val="24"/>
                <w:szCs w:val="24"/>
              </w:rPr>
              <w:t xml:space="preserve"> be achieved </w:t>
            </w:r>
            <w:r w:rsidR="000E4BDC">
              <w:rPr>
                <w:rFonts w:cs="Arial"/>
                <w:sz w:val="24"/>
                <w:szCs w:val="24"/>
              </w:rPr>
              <w:t>by suppliers</w:t>
            </w:r>
            <w:r w:rsidR="00EF389F">
              <w:rPr>
                <w:rFonts w:cs="Arial"/>
                <w:sz w:val="24"/>
                <w:szCs w:val="24"/>
              </w:rPr>
              <w:t>,</w:t>
            </w:r>
            <w:r w:rsidR="000E4BDC">
              <w:rPr>
                <w:rFonts w:cs="Arial"/>
                <w:sz w:val="24"/>
                <w:szCs w:val="24"/>
              </w:rPr>
              <w:t xml:space="preserve"> </w:t>
            </w:r>
            <w:r w:rsidR="00597FAD">
              <w:rPr>
                <w:rFonts w:cs="Arial"/>
                <w:sz w:val="24"/>
                <w:szCs w:val="24"/>
              </w:rPr>
              <w:t xml:space="preserve">the feedback </w:t>
            </w:r>
            <w:r w:rsidR="000E4BDC">
              <w:rPr>
                <w:rFonts w:cs="Arial"/>
                <w:sz w:val="24"/>
                <w:szCs w:val="24"/>
              </w:rPr>
              <w:t>received</w:t>
            </w:r>
            <w:r w:rsidR="00597FAD">
              <w:rPr>
                <w:rFonts w:cs="Arial"/>
                <w:sz w:val="24"/>
                <w:szCs w:val="24"/>
              </w:rPr>
              <w:t xml:space="preserve"> to date has been</w:t>
            </w:r>
            <w:r w:rsidR="000E4BDC">
              <w:rPr>
                <w:rFonts w:cs="Arial"/>
                <w:sz w:val="24"/>
                <w:szCs w:val="24"/>
              </w:rPr>
              <w:t xml:space="preserve"> very </w:t>
            </w:r>
            <w:r w:rsidR="00C03798">
              <w:rPr>
                <w:rFonts w:cs="Arial"/>
                <w:sz w:val="24"/>
                <w:szCs w:val="24"/>
              </w:rPr>
              <w:t>positive</w:t>
            </w:r>
            <w:r w:rsidR="00614252">
              <w:rPr>
                <w:rFonts w:cs="Arial"/>
                <w:sz w:val="24"/>
                <w:szCs w:val="24"/>
              </w:rPr>
              <w:t>.</w:t>
            </w:r>
          </w:p>
          <w:p w:rsidR="0023671D" w:rsidRDefault="0023671D"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610658" w:rsidRDefault="00614252"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B</w:t>
            </w:r>
            <w:r w:rsidR="00610658">
              <w:rPr>
                <w:rFonts w:cs="Arial"/>
                <w:sz w:val="24"/>
                <w:szCs w:val="24"/>
              </w:rPr>
              <w:t>enefits to suppliers</w:t>
            </w:r>
            <w:r>
              <w:rPr>
                <w:rFonts w:cs="Arial"/>
                <w:sz w:val="24"/>
                <w:szCs w:val="24"/>
              </w:rPr>
              <w:t xml:space="preserve"> include:</w:t>
            </w:r>
          </w:p>
          <w:p w:rsidR="00610658" w:rsidRDefault="00610658"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610658" w:rsidRPr="007F41B7" w:rsidRDefault="00610658" w:rsidP="005254D4">
            <w:pPr>
              <w:numPr>
                <w:ilvl w:val="0"/>
                <w:numId w:val="33"/>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Faster payment</w:t>
            </w:r>
            <w:r w:rsidR="005254D4">
              <w:rPr>
                <w:rFonts w:cs="Arial"/>
                <w:sz w:val="24"/>
                <w:szCs w:val="24"/>
              </w:rPr>
              <w:t>;</w:t>
            </w:r>
          </w:p>
          <w:p w:rsidR="00610658" w:rsidRPr="007F41B7" w:rsidRDefault="00610658" w:rsidP="005254D4">
            <w:pPr>
              <w:numPr>
                <w:ilvl w:val="0"/>
                <w:numId w:val="33"/>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Reduce</w:t>
            </w:r>
            <w:r w:rsidR="00EF389F">
              <w:rPr>
                <w:rFonts w:cs="Arial"/>
                <w:sz w:val="24"/>
                <w:szCs w:val="24"/>
              </w:rPr>
              <w:t>d</w:t>
            </w:r>
            <w:r w:rsidRPr="007F41B7">
              <w:rPr>
                <w:rFonts w:cs="Arial"/>
                <w:sz w:val="24"/>
                <w:szCs w:val="24"/>
              </w:rPr>
              <w:t xml:space="preserve"> costs</w:t>
            </w:r>
            <w:r w:rsidR="005254D4">
              <w:rPr>
                <w:rFonts w:cs="Arial"/>
                <w:sz w:val="24"/>
                <w:szCs w:val="24"/>
              </w:rPr>
              <w:t>;</w:t>
            </w:r>
          </w:p>
          <w:p w:rsidR="00610658" w:rsidRPr="007F41B7" w:rsidRDefault="00610658" w:rsidP="005254D4">
            <w:pPr>
              <w:numPr>
                <w:ilvl w:val="0"/>
                <w:numId w:val="33"/>
              </w:numPr>
              <w:tabs>
                <w:tab w:val="left" w:pos="1440"/>
                <w:tab w:val="left" w:pos="2160"/>
                <w:tab w:val="left" w:pos="2880"/>
                <w:tab w:val="left" w:pos="4680"/>
                <w:tab w:val="left" w:pos="5400"/>
                <w:tab w:val="right" w:pos="9000"/>
              </w:tabs>
              <w:spacing w:line="240" w:lineRule="atLeast"/>
              <w:jc w:val="both"/>
              <w:rPr>
                <w:rFonts w:cs="Arial"/>
                <w:sz w:val="24"/>
                <w:szCs w:val="24"/>
              </w:rPr>
            </w:pPr>
            <w:r w:rsidRPr="007F41B7">
              <w:rPr>
                <w:rFonts w:cs="Arial"/>
                <w:sz w:val="24"/>
                <w:szCs w:val="24"/>
              </w:rPr>
              <w:t>Improved customer satisfaction</w:t>
            </w:r>
            <w:r w:rsidR="005254D4">
              <w:rPr>
                <w:rFonts w:cs="Arial"/>
                <w:sz w:val="24"/>
                <w:szCs w:val="24"/>
              </w:rPr>
              <w:t>; and</w:t>
            </w:r>
          </w:p>
          <w:p w:rsidR="00610658" w:rsidRPr="007F41B7" w:rsidRDefault="00EF389F" w:rsidP="005254D4">
            <w:pPr>
              <w:numPr>
                <w:ilvl w:val="0"/>
                <w:numId w:val="33"/>
              </w:num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Reduced</w:t>
            </w:r>
            <w:r w:rsidR="00610658" w:rsidRPr="007F41B7">
              <w:rPr>
                <w:rFonts w:cs="Arial"/>
                <w:sz w:val="24"/>
                <w:szCs w:val="24"/>
              </w:rPr>
              <w:t xml:space="preserve"> carbon footprint</w:t>
            </w:r>
          </w:p>
          <w:p w:rsidR="005F62C0" w:rsidRPr="00DD3B38" w:rsidRDefault="005F62C0" w:rsidP="005254D4">
            <w:pPr>
              <w:tabs>
                <w:tab w:val="left" w:pos="2160"/>
                <w:tab w:val="left" w:pos="2880"/>
                <w:tab w:val="left" w:pos="4680"/>
                <w:tab w:val="left" w:pos="5400"/>
                <w:tab w:val="right" w:pos="9000"/>
              </w:tabs>
              <w:spacing w:line="240" w:lineRule="atLeast"/>
              <w:jc w:val="both"/>
              <w:rPr>
                <w:rFonts w:cs="Arial"/>
                <w:sz w:val="24"/>
                <w:szCs w:val="24"/>
              </w:rPr>
            </w:pPr>
          </w:p>
          <w:p w:rsidR="00D51B0B" w:rsidRPr="00DD3B38" w:rsidRDefault="00D51B0B" w:rsidP="005254D4">
            <w:pPr>
              <w:tabs>
                <w:tab w:val="left" w:pos="2160"/>
                <w:tab w:val="left" w:pos="2880"/>
                <w:tab w:val="left" w:pos="4680"/>
                <w:tab w:val="left" w:pos="5400"/>
                <w:tab w:val="right" w:pos="9000"/>
              </w:tabs>
              <w:spacing w:line="240" w:lineRule="atLeast"/>
              <w:jc w:val="both"/>
              <w:rPr>
                <w:rFonts w:cs="Arial"/>
                <w:sz w:val="24"/>
                <w:szCs w:val="24"/>
              </w:rPr>
            </w:pPr>
            <w:r w:rsidRPr="00DD3B38">
              <w:rPr>
                <w:rFonts w:cs="Arial"/>
                <w:b/>
                <w:sz w:val="24"/>
                <w:szCs w:val="24"/>
              </w:rPr>
              <w:t>Costs</w:t>
            </w:r>
          </w:p>
          <w:p w:rsidR="008605B3" w:rsidRDefault="008605B3"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610658" w:rsidRDefault="00FE7C82"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Pr>
                <w:rFonts w:cs="Arial"/>
                <w:sz w:val="24"/>
                <w:szCs w:val="24"/>
              </w:rPr>
              <w:t>eInvoic</w:t>
            </w:r>
            <w:r w:rsidR="005254D4">
              <w:rPr>
                <w:rFonts w:cs="Arial"/>
                <w:sz w:val="24"/>
                <w:szCs w:val="24"/>
              </w:rPr>
              <w:t>ing</w:t>
            </w:r>
            <w:r>
              <w:rPr>
                <w:rFonts w:cs="Arial"/>
                <w:sz w:val="24"/>
                <w:szCs w:val="24"/>
              </w:rPr>
              <w:t xml:space="preserve"> capability is being delivered </w:t>
            </w:r>
            <w:r w:rsidR="00610658">
              <w:rPr>
                <w:rFonts w:cs="Arial"/>
                <w:sz w:val="24"/>
                <w:szCs w:val="24"/>
              </w:rPr>
              <w:t>through the</w:t>
            </w:r>
            <w:r w:rsidR="00EF389F">
              <w:rPr>
                <w:rFonts w:cs="Arial"/>
                <w:sz w:val="24"/>
                <w:szCs w:val="24"/>
              </w:rPr>
              <w:t xml:space="preserve"> </w:t>
            </w:r>
            <w:r w:rsidR="005254D4">
              <w:rPr>
                <w:rFonts w:cs="Arial"/>
                <w:sz w:val="24"/>
                <w:szCs w:val="24"/>
              </w:rPr>
              <w:t>national Purchase-to-</w:t>
            </w:r>
            <w:r w:rsidR="00042F2F">
              <w:rPr>
                <w:rFonts w:cs="Arial"/>
                <w:sz w:val="24"/>
                <w:szCs w:val="24"/>
              </w:rPr>
              <w:t>Pay</w:t>
            </w:r>
            <w:r w:rsidR="005254D4">
              <w:rPr>
                <w:rFonts w:cs="Arial"/>
                <w:sz w:val="24"/>
                <w:szCs w:val="24"/>
              </w:rPr>
              <w:t xml:space="preserve"> (P2P)</w:t>
            </w:r>
            <w:r w:rsidR="00042F2F">
              <w:rPr>
                <w:rFonts w:cs="Arial"/>
                <w:sz w:val="24"/>
                <w:szCs w:val="24"/>
              </w:rPr>
              <w:t xml:space="preserve"> platform </w:t>
            </w:r>
            <w:r w:rsidR="005254D4">
              <w:rPr>
                <w:rFonts w:cs="Arial"/>
                <w:sz w:val="24"/>
                <w:szCs w:val="24"/>
              </w:rPr>
              <w:t xml:space="preserve">PECOS </w:t>
            </w:r>
            <w:r w:rsidR="00042F2F">
              <w:rPr>
                <w:rFonts w:cs="Arial"/>
                <w:sz w:val="24"/>
                <w:szCs w:val="24"/>
              </w:rPr>
              <w:t xml:space="preserve">which is being funded by the Scottish Government. </w:t>
            </w:r>
          </w:p>
          <w:p w:rsidR="00610658" w:rsidRDefault="00610658"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DD1E3E" w:rsidRPr="00DD3B38" w:rsidRDefault="00DD1E3E" w:rsidP="005254D4">
            <w:pPr>
              <w:tabs>
                <w:tab w:val="left" w:pos="720"/>
                <w:tab w:val="left" w:pos="1440"/>
                <w:tab w:val="left" w:pos="2160"/>
                <w:tab w:val="left" w:pos="2880"/>
                <w:tab w:val="left" w:pos="4680"/>
                <w:tab w:val="left" w:pos="5400"/>
                <w:tab w:val="right" w:pos="9000"/>
              </w:tabs>
              <w:spacing w:line="240" w:lineRule="atLeast"/>
              <w:ind w:left="720"/>
              <w:jc w:val="both"/>
              <w:rPr>
                <w:rFonts w:cs="Arial"/>
                <w:b/>
                <w:sz w:val="24"/>
                <w:szCs w:val="24"/>
              </w:rPr>
            </w:pPr>
          </w:p>
        </w:tc>
      </w:tr>
      <w:tr w:rsidR="0096546A" w:rsidRPr="00DD3B38" w:rsidTr="00FF0EE2">
        <w:tc>
          <w:tcPr>
            <w:tcW w:w="5000" w:type="pct"/>
            <w:shd w:val="clear" w:color="auto" w:fill="auto"/>
          </w:tcPr>
          <w:p w:rsidR="0096546A" w:rsidRPr="00DD3B38" w:rsidRDefault="00BB41B6"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lastRenderedPageBreak/>
              <w:t>Scottish Firms Impact Test</w:t>
            </w:r>
            <w:r w:rsidR="00E1039A" w:rsidRPr="00DD3B38">
              <w:rPr>
                <w:rFonts w:cs="Arial"/>
                <w:b/>
                <w:sz w:val="24"/>
                <w:szCs w:val="24"/>
              </w:rPr>
              <w:t xml:space="preserve"> </w:t>
            </w:r>
          </w:p>
          <w:p w:rsidR="00E9720E" w:rsidRDefault="00E9720E"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EF389F" w:rsidRDefault="00236B7D" w:rsidP="005254D4">
            <w:pPr>
              <w:tabs>
                <w:tab w:val="left" w:pos="2160"/>
                <w:tab w:val="left" w:pos="2880"/>
                <w:tab w:val="left" w:pos="4680"/>
                <w:tab w:val="left" w:pos="5400"/>
                <w:tab w:val="right" w:pos="9000"/>
              </w:tabs>
              <w:spacing w:line="240" w:lineRule="atLeast"/>
              <w:jc w:val="both"/>
              <w:rPr>
                <w:rFonts w:cs="Arial"/>
                <w:sz w:val="24"/>
                <w:szCs w:val="24"/>
              </w:rPr>
            </w:pPr>
            <w:r w:rsidRPr="00ED5746">
              <w:rPr>
                <w:rFonts w:cs="Arial"/>
                <w:sz w:val="24"/>
                <w:szCs w:val="24"/>
              </w:rPr>
              <w:t>The introduction of eInvoicing will not impact negatively on suppliers</w:t>
            </w:r>
            <w:r w:rsidR="00356F05">
              <w:rPr>
                <w:rFonts w:cs="Arial"/>
                <w:sz w:val="24"/>
                <w:szCs w:val="24"/>
              </w:rPr>
              <w:t xml:space="preserve"> who should e</w:t>
            </w:r>
            <w:r>
              <w:rPr>
                <w:rFonts w:cs="Arial"/>
                <w:sz w:val="24"/>
                <w:szCs w:val="24"/>
              </w:rPr>
              <w:t xml:space="preserve">njoy </w:t>
            </w:r>
            <w:r w:rsidR="00EF389F">
              <w:rPr>
                <w:rFonts w:cs="Arial"/>
                <w:sz w:val="24"/>
                <w:szCs w:val="24"/>
              </w:rPr>
              <w:t xml:space="preserve">transactional </w:t>
            </w:r>
            <w:r>
              <w:rPr>
                <w:rFonts w:cs="Arial"/>
                <w:sz w:val="24"/>
                <w:szCs w:val="24"/>
              </w:rPr>
              <w:t>process savings directly related to the introduction of eInvoicin</w:t>
            </w:r>
            <w:r w:rsidR="00356F05">
              <w:rPr>
                <w:rFonts w:cs="Arial"/>
                <w:sz w:val="24"/>
                <w:szCs w:val="24"/>
              </w:rPr>
              <w:t>g</w:t>
            </w:r>
          </w:p>
          <w:p w:rsidR="00EF389F" w:rsidRDefault="00EF389F" w:rsidP="005254D4">
            <w:pPr>
              <w:tabs>
                <w:tab w:val="left" w:pos="2160"/>
                <w:tab w:val="left" w:pos="2880"/>
                <w:tab w:val="left" w:pos="4680"/>
                <w:tab w:val="left" w:pos="5400"/>
                <w:tab w:val="right" w:pos="9000"/>
              </w:tabs>
              <w:spacing w:line="240" w:lineRule="atLeast"/>
              <w:jc w:val="both"/>
              <w:rPr>
                <w:rFonts w:cs="Arial"/>
                <w:sz w:val="24"/>
                <w:szCs w:val="24"/>
              </w:rPr>
            </w:pPr>
          </w:p>
          <w:p w:rsidR="00EF389F" w:rsidRDefault="00EF389F" w:rsidP="005254D4">
            <w:pPr>
              <w:tabs>
                <w:tab w:val="left" w:pos="2160"/>
                <w:tab w:val="left" w:pos="2880"/>
                <w:tab w:val="left" w:pos="4680"/>
                <w:tab w:val="left" w:pos="5400"/>
                <w:tab w:val="right" w:pos="9000"/>
              </w:tabs>
              <w:spacing w:line="240" w:lineRule="atLeast"/>
              <w:jc w:val="both"/>
              <w:rPr>
                <w:sz w:val="24"/>
                <w:szCs w:val="24"/>
              </w:rPr>
            </w:pPr>
            <w:r>
              <w:rPr>
                <w:rFonts w:cs="Arial"/>
                <w:sz w:val="24"/>
                <w:szCs w:val="24"/>
              </w:rPr>
              <w:t>For the Scottish Government’s eInvoicing solution, t</w:t>
            </w:r>
            <w:r w:rsidR="007F7A12">
              <w:rPr>
                <w:rFonts w:cs="Arial"/>
                <w:sz w:val="24"/>
                <w:szCs w:val="24"/>
              </w:rPr>
              <w:t xml:space="preserve">he minimum requirement for suppliers is the ability </w:t>
            </w:r>
            <w:r w:rsidR="00E9720E">
              <w:rPr>
                <w:rFonts w:cs="Arial"/>
                <w:sz w:val="24"/>
                <w:szCs w:val="24"/>
              </w:rPr>
              <w:t xml:space="preserve">to </w:t>
            </w:r>
            <w:r w:rsidR="007F7A12">
              <w:rPr>
                <w:rFonts w:cs="Arial"/>
                <w:sz w:val="24"/>
                <w:szCs w:val="24"/>
              </w:rPr>
              <w:t xml:space="preserve">automatically </w:t>
            </w:r>
            <w:r>
              <w:rPr>
                <w:rFonts w:cs="Arial"/>
                <w:sz w:val="24"/>
                <w:szCs w:val="24"/>
              </w:rPr>
              <w:t>eMail</w:t>
            </w:r>
            <w:r w:rsidR="00E9720E">
              <w:rPr>
                <w:rFonts w:cs="Arial"/>
                <w:sz w:val="24"/>
                <w:szCs w:val="24"/>
              </w:rPr>
              <w:t xml:space="preserve"> an </w:t>
            </w:r>
            <w:r w:rsidR="003554DB">
              <w:rPr>
                <w:rFonts w:cs="Arial"/>
                <w:sz w:val="24"/>
                <w:szCs w:val="24"/>
              </w:rPr>
              <w:t>i</w:t>
            </w:r>
            <w:r w:rsidR="00E9720E">
              <w:rPr>
                <w:rFonts w:cs="Arial"/>
                <w:sz w:val="24"/>
                <w:szCs w:val="24"/>
              </w:rPr>
              <w:t>nvoice</w:t>
            </w:r>
            <w:r>
              <w:rPr>
                <w:rFonts w:cs="Arial"/>
                <w:sz w:val="24"/>
                <w:szCs w:val="24"/>
              </w:rPr>
              <w:t xml:space="preserve"> in a PDF format </w:t>
            </w:r>
            <w:r w:rsidR="00E9720E">
              <w:rPr>
                <w:rFonts w:cs="Arial"/>
                <w:sz w:val="24"/>
                <w:szCs w:val="24"/>
              </w:rPr>
              <w:t>to a predetermined email address</w:t>
            </w:r>
            <w:r>
              <w:rPr>
                <w:rFonts w:cs="Arial"/>
                <w:sz w:val="24"/>
                <w:szCs w:val="24"/>
              </w:rPr>
              <w:t>.</w:t>
            </w:r>
            <w:r w:rsidR="00481B42">
              <w:rPr>
                <w:rFonts w:cs="Arial"/>
                <w:sz w:val="24"/>
                <w:szCs w:val="24"/>
              </w:rPr>
              <w:t xml:space="preserve"> </w:t>
            </w:r>
            <w:r>
              <w:rPr>
                <w:rFonts w:cs="Arial"/>
                <w:sz w:val="24"/>
                <w:szCs w:val="24"/>
              </w:rPr>
              <w:t xml:space="preserve"> The Scottish Government is </w:t>
            </w:r>
            <w:r w:rsidR="00ED5746">
              <w:rPr>
                <w:rFonts w:cs="Arial"/>
                <w:sz w:val="24"/>
                <w:szCs w:val="24"/>
              </w:rPr>
              <w:t>f</w:t>
            </w:r>
            <w:r>
              <w:rPr>
                <w:rFonts w:cs="Arial"/>
                <w:sz w:val="24"/>
                <w:szCs w:val="24"/>
              </w:rPr>
              <w:t>unding all transactional fees so suppliers are not required to pay for any eInvoices they issue.</w:t>
            </w:r>
            <w:r w:rsidRPr="007F41B7">
              <w:rPr>
                <w:sz w:val="24"/>
                <w:szCs w:val="24"/>
              </w:rPr>
              <w:t xml:space="preserve"> </w:t>
            </w:r>
          </w:p>
          <w:p w:rsidR="00356F05" w:rsidRDefault="00356F05" w:rsidP="005254D4">
            <w:pPr>
              <w:tabs>
                <w:tab w:val="left" w:pos="2160"/>
                <w:tab w:val="left" w:pos="2880"/>
                <w:tab w:val="left" w:pos="4680"/>
                <w:tab w:val="left" w:pos="5400"/>
                <w:tab w:val="right" w:pos="9000"/>
              </w:tabs>
              <w:spacing w:line="240" w:lineRule="atLeast"/>
              <w:jc w:val="both"/>
              <w:rPr>
                <w:sz w:val="24"/>
                <w:szCs w:val="24"/>
              </w:rPr>
            </w:pPr>
          </w:p>
          <w:p w:rsidR="00356F05" w:rsidRPr="007F41B7" w:rsidRDefault="00ED5746" w:rsidP="005254D4">
            <w:pPr>
              <w:tabs>
                <w:tab w:val="left" w:pos="2160"/>
                <w:tab w:val="left" w:pos="2880"/>
                <w:tab w:val="left" w:pos="4680"/>
                <w:tab w:val="left" w:pos="5400"/>
                <w:tab w:val="right" w:pos="9000"/>
              </w:tabs>
              <w:spacing w:line="240" w:lineRule="atLeast"/>
              <w:jc w:val="both"/>
              <w:rPr>
                <w:sz w:val="24"/>
                <w:szCs w:val="24"/>
              </w:rPr>
            </w:pPr>
            <w:r>
              <w:rPr>
                <w:sz w:val="24"/>
                <w:szCs w:val="24"/>
              </w:rPr>
              <w:t xml:space="preserve">The Scottish Government is not sighted on any </w:t>
            </w:r>
            <w:r w:rsidR="005254D4">
              <w:rPr>
                <w:sz w:val="24"/>
                <w:szCs w:val="24"/>
              </w:rPr>
              <w:t xml:space="preserve">other </w:t>
            </w:r>
            <w:r>
              <w:rPr>
                <w:sz w:val="24"/>
                <w:szCs w:val="24"/>
              </w:rPr>
              <w:t>commercial arrangements that are in place between public bodies and other eInvoicing service providers.</w:t>
            </w:r>
          </w:p>
          <w:p w:rsidR="00481B42" w:rsidRPr="00481B42" w:rsidRDefault="00481B42"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BB41B6" w:rsidRPr="00DD3B38" w:rsidRDefault="00BB41B6"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Competition Assessment</w:t>
            </w:r>
          </w:p>
          <w:p w:rsidR="00597FAD" w:rsidRDefault="00597FAD" w:rsidP="005254D4">
            <w:pPr>
              <w:jc w:val="both"/>
              <w:rPr>
                <w:rFonts w:cs="Arial"/>
                <w:sz w:val="24"/>
                <w:szCs w:val="24"/>
                <w:lang w:eastAsia="en-GB"/>
              </w:rPr>
            </w:pPr>
          </w:p>
          <w:p w:rsidR="00C60B23" w:rsidRDefault="00FD1DE4" w:rsidP="005254D4">
            <w:pPr>
              <w:jc w:val="both"/>
              <w:rPr>
                <w:rFonts w:cs="Arial"/>
                <w:sz w:val="24"/>
                <w:szCs w:val="24"/>
              </w:rPr>
            </w:pPr>
            <w:r>
              <w:rPr>
                <w:rFonts w:cs="Arial"/>
                <w:sz w:val="24"/>
                <w:szCs w:val="24"/>
                <w:lang w:eastAsia="en-GB"/>
              </w:rPr>
              <w:t xml:space="preserve">This </w:t>
            </w:r>
            <w:r w:rsidR="00431155">
              <w:rPr>
                <w:rFonts w:cs="Arial"/>
                <w:sz w:val="24"/>
                <w:szCs w:val="24"/>
                <w:lang w:eastAsia="en-GB"/>
              </w:rPr>
              <w:t>D</w:t>
            </w:r>
            <w:r>
              <w:rPr>
                <w:rFonts w:cs="Arial"/>
                <w:sz w:val="24"/>
                <w:szCs w:val="24"/>
                <w:lang w:eastAsia="en-GB"/>
              </w:rPr>
              <w:t xml:space="preserve">irective </w:t>
            </w:r>
            <w:r w:rsidR="00C60B23">
              <w:rPr>
                <w:rFonts w:cs="Arial"/>
                <w:sz w:val="24"/>
                <w:szCs w:val="24"/>
                <w:lang w:eastAsia="en-GB"/>
              </w:rPr>
              <w:t xml:space="preserve">solely targets </w:t>
            </w:r>
            <w:r w:rsidR="00DB5A0E">
              <w:rPr>
                <w:rFonts w:cs="Arial"/>
                <w:sz w:val="24"/>
                <w:szCs w:val="24"/>
                <w:lang w:eastAsia="en-GB"/>
              </w:rPr>
              <w:t xml:space="preserve">the ability of </w:t>
            </w:r>
            <w:r w:rsidR="007F7A12">
              <w:rPr>
                <w:rFonts w:cs="Arial"/>
                <w:sz w:val="24"/>
                <w:szCs w:val="24"/>
                <w:lang w:eastAsia="en-GB"/>
              </w:rPr>
              <w:t>public bodies</w:t>
            </w:r>
            <w:r w:rsidR="00597FAD">
              <w:rPr>
                <w:rFonts w:cs="Arial"/>
                <w:sz w:val="24"/>
                <w:szCs w:val="24"/>
                <w:lang w:eastAsia="en-GB"/>
              </w:rPr>
              <w:t xml:space="preserve"> </w:t>
            </w:r>
            <w:r w:rsidR="00DB5A0E">
              <w:rPr>
                <w:rFonts w:cs="Arial"/>
                <w:sz w:val="24"/>
                <w:szCs w:val="24"/>
                <w:lang w:eastAsia="en-GB"/>
              </w:rPr>
              <w:t>to</w:t>
            </w:r>
            <w:r w:rsidR="007F7A12">
              <w:rPr>
                <w:rFonts w:cs="Arial"/>
                <w:sz w:val="24"/>
                <w:szCs w:val="24"/>
                <w:lang w:eastAsia="en-GB"/>
              </w:rPr>
              <w:t xml:space="preserve"> automatically</w:t>
            </w:r>
            <w:r w:rsidR="00DB5A0E">
              <w:rPr>
                <w:rFonts w:cs="Arial"/>
                <w:sz w:val="24"/>
                <w:szCs w:val="24"/>
                <w:lang w:eastAsia="en-GB"/>
              </w:rPr>
              <w:t xml:space="preserve"> receive eInvoices and make an electronic payment.  Once a</w:t>
            </w:r>
            <w:r w:rsidR="007F7A12">
              <w:rPr>
                <w:rFonts w:cs="Arial"/>
                <w:sz w:val="24"/>
                <w:szCs w:val="24"/>
                <w:lang w:eastAsia="en-GB"/>
              </w:rPr>
              <w:t xml:space="preserve"> public body</w:t>
            </w:r>
            <w:r w:rsidR="00597FAD">
              <w:rPr>
                <w:rFonts w:cs="Arial"/>
                <w:sz w:val="24"/>
                <w:szCs w:val="24"/>
                <w:lang w:eastAsia="en-GB"/>
              </w:rPr>
              <w:t xml:space="preserve"> </w:t>
            </w:r>
            <w:r w:rsidR="00DB5A0E">
              <w:rPr>
                <w:rFonts w:cs="Arial"/>
                <w:sz w:val="24"/>
                <w:szCs w:val="24"/>
                <w:lang w:eastAsia="en-GB"/>
              </w:rPr>
              <w:t xml:space="preserve">has implemented an eInvoicing solution </w:t>
            </w:r>
            <w:r>
              <w:rPr>
                <w:rFonts w:cs="Arial"/>
                <w:sz w:val="24"/>
                <w:szCs w:val="24"/>
              </w:rPr>
              <w:t>it is</w:t>
            </w:r>
            <w:r w:rsidR="00CC6B8A">
              <w:rPr>
                <w:rFonts w:cs="Arial"/>
                <w:sz w:val="24"/>
                <w:szCs w:val="24"/>
              </w:rPr>
              <w:t xml:space="preserve"> believe</w:t>
            </w:r>
            <w:r>
              <w:rPr>
                <w:rFonts w:cs="Arial"/>
                <w:sz w:val="24"/>
                <w:szCs w:val="24"/>
              </w:rPr>
              <w:t>d</w:t>
            </w:r>
            <w:r w:rsidR="00CC6B8A">
              <w:rPr>
                <w:rFonts w:cs="Arial"/>
                <w:sz w:val="24"/>
                <w:szCs w:val="24"/>
              </w:rPr>
              <w:t xml:space="preserve"> that</w:t>
            </w:r>
            <w:r w:rsidR="00C60B23" w:rsidRPr="00A423FD">
              <w:rPr>
                <w:rFonts w:cs="Arial"/>
                <w:sz w:val="24"/>
                <w:szCs w:val="24"/>
              </w:rPr>
              <w:t xml:space="preserve"> further effic</w:t>
            </w:r>
            <w:r w:rsidR="00DB5A0E">
              <w:rPr>
                <w:rFonts w:cs="Arial"/>
                <w:sz w:val="24"/>
                <w:szCs w:val="24"/>
              </w:rPr>
              <w:t>iencies and simplifications will</w:t>
            </w:r>
            <w:r w:rsidR="00C60B23" w:rsidRPr="00A423FD">
              <w:rPr>
                <w:rFonts w:cs="Arial"/>
                <w:sz w:val="24"/>
                <w:szCs w:val="24"/>
              </w:rPr>
              <w:t xml:space="preserve"> arise as a result </w:t>
            </w:r>
            <w:r w:rsidR="00367EC5">
              <w:rPr>
                <w:rFonts w:cs="Arial"/>
                <w:sz w:val="24"/>
                <w:szCs w:val="24"/>
              </w:rPr>
              <w:t xml:space="preserve">which may support improvement in </w:t>
            </w:r>
            <w:r w:rsidR="00DB5A0E">
              <w:rPr>
                <w:rFonts w:cs="Arial"/>
                <w:sz w:val="24"/>
                <w:szCs w:val="24"/>
              </w:rPr>
              <w:t>payment timescales to suppliers.</w:t>
            </w:r>
            <w:r w:rsidR="00C60B23">
              <w:rPr>
                <w:rFonts w:cs="Arial"/>
                <w:sz w:val="24"/>
                <w:szCs w:val="24"/>
              </w:rPr>
              <w:t xml:space="preserve"> </w:t>
            </w:r>
          </w:p>
          <w:p w:rsidR="00DB5A0E" w:rsidRDefault="00DB5A0E" w:rsidP="005254D4">
            <w:pPr>
              <w:jc w:val="both"/>
              <w:rPr>
                <w:rFonts w:cs="Arial"/>
                <w:sz w:val="24"/>
                <w:szCs w:val="24"/>
              </w:rPr>
            </w:pPr>
          </w:p>
          <w:p w:rsidR="00C60B23" w:rsidRDefault="00C60B23" w:rsidP="005254D4">
            <w:pPr>
              <w:tabs>
                <w:tab w:val="left" w:pos="2160"/>
                <w:tab w:val="left" w:pos="2880"/>
                <w:tab w:val="left" w:pos="4680"/>
                <w:tab w:val="left" w:pos="5400"/>
                <w:tab w:val="right" w:pos="9000"/>
              </w:tabs>
              <w:spacing w:line="240" w:lineRule="atLeast"/>
              <w:jc w:val="both"/>
              <w:rPr>
                <w:rFonts w:cs="Arial"/>
                <w:b/>
                <w:sz w:val="24"/>
                <w:szCs w:val="24"/>
              </w:rPr>
            </w:pPr>
            <w:r w:rsidRPr="00A423FD">
              <w:rPr>
                <w:rFonts w:cs="Arial"/>
                <w:b/>
                <w:sz w:val="24"/>
                <w:szCs w:val="24"/>
              </w:rPr>
              <w:t>Test run of business forms</w:t>
            </w:r>
          </w:p>
          <w:p w:rsidR="005254D4" w:rsidRDefault="005254D4" w:rsidP="005254D4">
            <w:pPr>
              <w:tabs>
                <w:tab w:val="left" w:pos="2160"/>
                <w:tab w:val="left" w:pos="2880"/>
                <w:tab w:val="left" w:pos="4680"/>
                <w:tab w:val="left" w:pos="5400"/>
                <w:tab w:val="right" w:pos="9000"/>
              </w:tabs>
              <w:spacing w:line="240" w:lineRule="atLeast"/>
              <w:jc w:val="both"/>
              <w:rPr>
                <w:rFonts w:cs="Arial"/>
                <w:b/>
                <w:sz w:val="24"/>
                <w:szCs w:val="24"/>
              </w:rPr>
            </w:pPr>
          </w:p>
          <w:p w:rsidR="00ED5746" w:rsidRDefault="00ED5746" w:rsidP="005254D4">
            <w:pPr>
              <w:tabs>
                <w:tab w:val="left" w:pos="2160"/>
                <w:tab w:val="left" w:pos="2880"/>
                <w:tab w:val="left" w:pos="4680"/>
                <w:tab w:val="left" w:pos="5400"/>
                <w:tab w:val="right" w:pos="9000"/>
              </w:tabs>
              <w:spacing w:line="240" w:lineRule="atLeast"/>
              <w:jc w:val="both"/>
              <w:rPr>
                <w:rFonts w:cs="Arial"/>
                <w:sz w:val="24"/>
                <w:szCs w:val="24"/>
              </w:rPr>
            </w:pPr>
            <w:r w:rsidRPr="0098701A">
              <w:rPr>
                <w:rFonts w:cs="Arial"/>
                <w:sz w:val="24"/>
                <w:szCs w:val="24"/>
              </w:rPr>
              <w:t xml:space="preserve">A new EU standard eInvoice template has been published and </w:t>
            </w:r>
            <w:r w:rsidR="00382509" w:rsidRPr="0098701A">
              <w:rPr>
                <w:rFonts w:cs="Arial"/>
                <w:sz w:val="24"/>
                <w:szCs w:val="24"/>
              </w:rPr>
              <w:t>is an option</w:t>
            </w:r>
            <w:r w:rsidR="00B3089D" w:rsidRPr="0098701A">
              <w:rPr>
                <w:rFonts w:cs="Arial"/>
                <w:sz w:val="24"/>
                <w:szCs w:val="24"/>
              </w:rPr>
              <w:t xml:space="preserve"> </w:t>
            </w:r>
            <w:r w:rsidR="00382509" w:rsidRPr="0098701A">
              <w:rPr>
                <w:rFonts w:cs="Arial"/>
                <w:sz w:val="24"/>
                <w:szCs w:val="24"/>
              </w:rPr>
              <w:t>that could be embedded within all eInvoicing solutions</w:t>
            </w:r>
            <w:r w:rsidR="00B3089D" w:rsidRPr="0098701A">
              <w:rPr>
                <w:rFonts w:cs="Arial"/>
                <w:sz w:val="24"/>
                <w:szCs w:val="24"/>
              </w:rPr>
              <w:t>.</w:t>
            </w:r>
            <w:r w:rsidR="00382509" w:rsidRPr="0098701A">
              <w:rPr>
                <w:rFonts w:cs="Arial"/>
                <w:sz w:val="24"/>
                <w:szCs w:val="24"/>
              </w:rPr>
              <w:t xml:space="preserve"> However, the </w:t>
            </w:r>
            <w:r w:rsidR="00D7426B">
              <w:rPr>
                <w:rFonts w:cs="Arial"/>
                <w:sz w:val="24"/>
                <w:szCs w:val="24"/>
              </w:rPr>
              <w:t>D</w:t>
            </w:r>
            <w:r w:rsidR="00382509" w:rsidRPr="0098701A">
              <w:rPr>
                <w:rFonts w:cs="Arial"/>
                <w:sz w:val="24"/>
                <w:szCs w:val="24"/>
              </w:rPr>
              <w:t>irective does not make it mandatory for supplier</w:t>
            </w:r>
            <w:r w:rsidR="00B3089D" w:rsidRPr="0098701A">
              <w:rPr>
                <w:rFonts w:cs="Arial"/>
                <w:sz w:val="24"/>
                <w:szCs w:val="24"/>
              </w:rPr>
              <w:t>s</w:t>
            </w:r>
            <w:r w:rsidR="00382509" w:rsidRPr="0098701A">
              <w:rPr>
                <w:rFonts w:cs="Arial"/>
                <w:sz w:val="24"/>
                <w:szCs w:val="24"/>
              </w:rPr>
              <w:t xml:space="preserve"> to use the EU eInvoicing standard, nor does it make it mandatory for contracting authorities to request eInvoices in the EU standard. Contracting authorities could </w:t>
            </w:r>
            <w:r w:rsidR="00B3089D" w:rsidRPr="0098701A">
              <w:rPr>
                <w:rFonts w:cs="Arial"/>
                <w:sz w:val="24"/>
                <w:szCs w:val="24"/>
              </w:rPr>
              <w:t>request eInvoices be submitted in a different format or another eInvoice standard.</w:t>
            </w:r>
          </w:p>
          <w:p w:rsidR="00DD1E3E" w:rsidRPr="00DD3B38" w:rsidRDefault="00DD1E3E" w:rsidP="005254D4">
            <w:pPr>
              <w:tabs>
                <w:tab w:val="left" w:pos="720"/>
                <w:tab w:val="left" w:pos="1440"/>
                <w:tab w:val="left" w:pos="2160"/>
                <w:tab w:val="left" w:pos="2880"/>
                <w:tab w:val="left" w:pos="4680"/>
                <w:tab w:val="left" w:pos="5400"/>
                <w:tab w:val="right" w:pos="9000"/>
              </w:tabs>
              <w:spacing w:line="240" w:lineRule="atLeast"/>
              <w:jc w:val="both"/>
              <w:rPr>
                <w:rFonts w:cs="Arial"/>
                <w:b/>
                <w:sz w:val="24"/>
                <w:szCs w:val="24"/>
              </w:rPr>
            </w:pPr>
          </w:p>
        </w:tc>
      </w:tr>
      <w:tr w:rsidR="0096546A" w:rsidRPr="00DD3B38" w:rsidTr="00FF0EE2">
        <w:tc>
          <w:tcPr>
            <w:tcW w:w="5000" w:type="pct"/>
            <w:shd w:val="clear" w:color="auto" w:fill="auto"/>
          </w:tcPr>
          <w:p w:rsidR="0096546A" w:rsidRDefault="0096546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Legal Aid Impact Test</w:t>
            </w:r>
            <w:r w:rsidR="00E1039A" w:rsidRPr="00DD3B38">
              <w:rPr>
                <w:rFonts w:cs="Arial"/>
                <w:b/>
                <w:sz w:val="24"/>
                <w:szCs w:val="24"/>
              </w:rPr>
              <w:t xml:space="preserve"> </w:t>
            </w:r>
          </w:p>
          <w:p w:rsidR="00EC10C5" w:rsidRDefault="00EC10C5"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EC10C5" w:rsidRDefault="00EC10C5"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This section has been di</w:t>
            </w:r>
            <w:r w:rsidR="005254D4">
              <w:rPr>
                <w:rFonts w:cs="Arial"/>
                <w:sz w:val="24"/>
                <w:szCs w:val="24"/>
              </w:rPr>
              <w:t>scussed with colleagues in the Access to J</w:t>
            </w:r>
            <w:r>
              <w:rPr>
                <w:rFonts w:cs="Arial"/>
                <w:sz w:val="24"/>
                <w:szCs w:val="24"/>
              </w:rPr>
              <w:t>ustice team who are content that the legal aid implications have been given due consideration.</w:t>
            </w:r>
          </w:p>
          <w:p w:rsidR="00EC10C5" w:rsidRDefault="00EC10C5"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EC10C5" w:rsidRDefault="00EC10C5"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It is not envisaged that there will be any impact on the legal aid fun</w:t>
            </w:r>
            <w:r w:rsidR="009D2060">
              <w:rPr>
                <w:rFonts w:cs="Arial"/>
                <w:sz w:val="24"/>
                <w:szCs w:val="24"/>
              </w:rPr>
              <w:t>d.</w:t>
            </w:r>
          </w:p>
          <w:p w:rsidR="00744A9D" w:rsidRDefault="00744A9D"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744A9D" w:rsidRPr="00A445FF" w:rsidRDefault="00744A9D" w:rsidP="005254D4">
            <w:pPr>
              <w:tabs>
                <w:tab w:val="left" w:pos="1440"/>
                <w:tab w:val="left" w:pos="2160"/>
                <w:tab w:val="left" w:pos="2880"/>
                <w:tab w:val="left" w:pos="4680"/>
                <w:tab w:val="left" w:pos="5400"/>
                <w:tab w:val="right" w:pos="9000"/>
              </w:tabs>
              <w:spacing w:line="240" w:lineRule="atLeast"/>
              <w:jc w:val="both"/>
              <w:rPr>
                <w:rFonts w:cs="Arial"/>
                <w:b/>
                <w:sz w:val="24"/>
                <w:szCs w:val="24"/>
                <w:u w:val="single"/>
              </w:rPr>
            </w:pPr>
            <w:r w:rsidRPr="00A445FF">
              <w:rPr>
                <w:rFonts w:cs="Arial"/>
                <w:b/>
                <w:sz w:val="24"/>
                <w:szCs w:val="24"/>
                <w:u w:val="single"/>
              </w:rPr>
              <w:t>Other Impact Assessments</w:t>
            </w:r>
          </w:p>
          <w:p w:rsidR="004239F3" w:rsidRDefault="004239F3" w:rsidP="005254D4">
            <w:pPr>
              <w:tabs>
                <w:tab w:val="left" w:pos="1440"/>
                <w:tab w:val="left" w:pos="2160"/>
                <w:tab w:val="left" w:pos="2880"/>
                <w:tab w:val="left" w:pos="4680"/>
                <w:tab w:val="left" w:pos="5400"/>
                <w:tab w:val="right" w:pos="9000"/>
              </w:tabs>
              <w:spacing w:line="240" w:lineRule="atLeast"/>
              <w:jc w:val="both"/>
              <w:rPr>
                <w:rFonts w:cs="Arial"/>
                <w:i/>
                <w:sz w:val="24"/>
                <w:szCs w:val="24"/>
              </w:rPr>
            </w:pPr>
          </w:p>
          <w:p w:rsidR="00744A9D" w:rsidRDefault="00744A9D" w:rsidP="003572AC">
            <w:pPr>
              <w:jc w:val="both"/>
              <w:rPr>
                <w:rFonts w:cs="Arial"/>
                <w:i/>
                <w:sz w:val="24"/>
                <w:szCs w:val="24"/>
              </w:rPr>
            </w:pPr>
            <w:r w:rsidRPr="00A445FF">
              <w:rPr>
                <w:rFonts w:cs="Arial"/>
                <w:color w:val="000000"/>
                <w:sz w:val="24"/>
                <w:szCs w:val="24"/>
              </w:rPr>
              <w:t>It is not envisaged there will be any impact on Privacy or Human Resources</w:t>
            </w:r>
            <w:r w:rsidR="009D2060">
              <w:rPr>
                <w:rFonts w:cs="Arial"/>
                <w:color w:val="000000"/>
                <w:sz w:val="24"/>
                <w:szCs w:val="24"/>
              </w:rPr>
              <w:t>.</w:t>
            </w:r>
          </w:p>
          <w:p w:rsidR="0088461D" w:rsidRPr="0088461D" w:rsidRDefault="0088461D"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tc>
      </w:tr>
      <w:tr w:rsidR="0096546A" w:rsidRPr="00DD3B38" w:rsidTr="00FF0EE2">
        <w:tc>
          <w:tcPr>
            <w:tcW w:w="5000" w:type="pct"/>
            <w:shd w:val="clear" w:color="auto" w:fill="auto"/>
          </w:tcPr>
          <w:p w:rsidR="0096546A" w:rsidRPr="00DD3B38" w:rsidRDefault="0096546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Enforcement, sanctions and monitoring</w:t>
            </w:r>
            <w:r w:rsidR="00E1039A" w:rsidRPr="00DD3B38">
              <w:rPr>
                <w:rFonts w:cs="Arial"/>
                <w:b/>
                <w:sz w:val="24"/>
                <w:szCs w:val="24"/>
              </w:rPr>
              <w:t xml:space="preserve"> </w:t>
            </w:r>
          </w:p>
          <w:p w:rsidR="00DD1E3E" w:rsidRDefault="00DD1E3E" w:rsidP="005254D4">
            <w:pPr>
              <w:tabs>
                <w:tab w:val="left" w:pos="720"/>
                <w:tab w:val="left" w:pos="1440"/>
                <w:tab w:val="left" w:pos="2160"/>
                <w:tab w:val="left" w:pos="2880"/>
                <w:tab w:val="left" w:pos="4680"/>
                <w:tab w:val="left" w:pos="5400"/>
                <w:tab w:val="right" w:pos="9000"/>
              </w:tabs>
              <w:spacing w:line="240" w:lineRule="atLeast"/>
              <w:jc w:val="both"/>
              <w:rPr>
                <w:rFonts w:cs="Arial"/>
                <w:b/>
                <w:sz w:val="24"/>
                <w:szCs w:val="24"/>
              </w:rPr>
            </w:pPr>
          </w:p>
          <w:p w:rsidR="0088461D" w:rsidRDefault="00367EC5"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The </w:t>
            </w:r>
            <w:r w:rsidR="0088461D">
              <w:rPr>
                <w:rFonts w:cs="Arial"/>
                <w:sz w:val="24"/>
                <w:szCs w:val="24"/>
              </w:rPr>
              <w:t>Scottish</w:t>
            </w:r>
            <w:r>
              <w:rPr>
                <w:rFonts w:cs="Arial"/>
                <w:sz w:val="24"/>
                <w:szCs w:val="24"/>
              </w:rPr>
              <w:t xml:space="preserve"> Government</w:t>
            </w:r>
            <w:r w:rsidR="0088461D">
              <w:rPr>
                <w:rFonts w:cs="Arial"/>
                <w:sz w:val="24"/>
                <w:szCs w:val="24"/>
              </w:rPr>
              <w:t xml:space="preserve"> will </w:t>
            </w:r>
            <w:r w:rsidR="007F7A12">
              <w:rPr>
                <w:rFonts w:cs="Arial"/>
                <w:sz w:val="24"/>
                <w:szCs w:val="24"/>
              </w:rPr>
              <w:t xml:space="preserve">be required to actively </w:t>
            </w:r>
            <w:r w:rsidR="0088461D">
              <w:rPr>
                <w:rFonts w:cs="Arial"/>
                <w:sz w:val="24"/>
                <w:szCs w:val="24"/>
              </w:rPr>
              <w:t>monitor the progress</w:t>
            </w:r>
            <w:r w:rsidR="007F7A12">
              <w:rPr>
                <w:rFonts w:cs="Arial"/>
                <w:sz w:val="24"/>
                <w:szCs w:val="24"/>
              </w:rPr>
              <w:t xml:space="preserve"> of public bodies </w:t>
            </w:r>
            <w:r>
              <w:rPr>
                <w:rFonts w:cs="Arial"/>
                <w:sz w:val="24"/>
                <w:szCs w:val="24"/>
              </w:rPr>
              <w:t>compliance</w:t>
            </w:r>
            <w:r w:rsidR="007F7A12">
              <w:rPr>
                <w:rFonts w:cs="Arial"/>
                <w:sz w:val="24"/>
                <w:szCs w:val="24"/>
              </w:rPr>
              <w:t xml:space="preserve"> with the Directive and will provide updates as and when required </w:t>
            </w:r>
            <w:r>
              <w:rPr>
                <w:rFonts w:cs="Arial"/>
                <w:sz w:val="24"/>
                <w:szCs w:val="24"/>
              </w:rPr>
              <w:t>to the UK Government as the Member State. The D</w:t>
            </w:r>
            <w:r w:rsidR="0088461D">
              <w:rPr>
                <w:rFonts w:cs="Arial"/>
                <w:sz w:val="24"/>
                <w:szCs w:val="24"/>
              </w:rPr>
              <w:t xml:space="preserve">irective offers no remedies for </w:t>
            </w:r>
            <w:r w:rsidR="0088461D">
              <w:rPr>
                <w:rFonts w:cs="Arial"/>
                <w:sz w:val="24"/>
                <w:szCs w:val="24"/>
              </w:rPr>
              <w:lastRenderedPageBreak/>
              <w:t>non-compliance.</w:t>
            </w:r>
          </w:p>
          <w:p w:rsidR="0088461D" w:rsidRPr="0088461D" w:rsidRDefault="0088461D"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p>
        </w:tc>
      </w:tr>
      <w:tr w:rsidR="0096546A" w:rsidRPr="00DD3B38" w:rsidTr="00FF0EE2">
        <w:tc>
          <w:tcPr>
            <w:tcW w:w="5000" w:type="pct"/>
            <w:shd w:val="clear" w:color="auto" w:fill="auto"/>
          </w:tcPr>
          <w:p w:rsidR="0096546A" w:rsidRPr="00DD3B38" w:rsidRDefault="0096546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lastRenderedPageBreak/>
              <w:t>Implementation and delivery plan</w:t>
            </w:r>
            <w:r w:rsidR="00E1039A" w:rsidRPr="00DD3B38">
              <w:rPr>
                <w:rFonts w:cs="Arial"/>
                <w:b/>
                <w:sz w:val="24"/>
                <w:szCs w:val="24"/>
              </w:rPr>
              <w:t xml:space="preserve"> </w:t>
            </w:r>
          </w:p>
          <w:p w:rsidR="00EC7DB3" w:rsidRDefault="00EC7DB3" w:rsidP="005254D4">
            <w:pPr>
              <w:tabs>
                <w:tab w:val="left" w:pos="1440"/>
                <w:tab w:val="left" w:pos="2160"/>
                <w:tab w:val="left" w:pos="2880"/>
                <w:tab w:val="left" w:pos="4680"/>
                <w:tab w:val="left" w:pos="5400"/>
                <w:tab w:val="right" w:pos="9000"/>
              </w:tabs>
              <w:spacing w:line="240" w:lineRule="atLeast"/>
              <w:jc w:val="both"/>
              <w:rPr>
                <w:rFonts w:cs="Arial"/>
                <w:i/>
                <w:sz w:val="24"/>
                <w:szCs w:val="24"/>
              </w:rPr>
            </w:pPr>
          </w:p>
          <w:p w:rsidR="00356F05" w:rsidRDefault="00BE6190"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r w:rsidRPr="00A423FD">
              <w:rPr>
                <w:rFonts w:cs="Arial"/>
                <w:sz w:val="24"/>
                <w:szCs w:val="24"/>
              </w:rPr>
              <w:t xml:space="preserve">The </w:t>
            </w:r>
            <w:r w:rsidR="007F7A12">
              <w:rPr>
                <w:rFonts w:cs="Arial"/>
                <w:sz w:val="24"/>
                <w:szCs w:val="24"/>
              </w:rPr>
              <w:t xml:space="preserve">eInvoicing Directive </w:t>
            </w:r>
            <w:r w:rsidRPr="00A423FD">
              <w:rPr>
                <w:rFonts w:cs="Arial"/>
                <w:sz w:val="24"/>
                <w:szCs w:val="24"/>
              </w:rPr>
              <w:t>must be implemented in Scottish </w:t>
            </w:r>
            <w:r>
              <w:rPr>
                <w:rFonts w:cs="Arial"/>
                <w:sz w:val="24"/>
                <w:szCs w:val="24"/>
              </w:rPr>
              <w:t xml:space="preserve">Regulations </w:t>
            </w:r>
            <w:r w:rsidR="007F7A12">
              <w:rPr>
                <w:rFonts w:cs="Arial"/>
                <w:sz w:val="24"/>
                <w:szCs w:val="24"/>
              </w:rPr>
              <w:t>no later than</w:t>
            </w:r>
            <w:r w:rsidR="003554DB">
              <w:rPr>
                <w:rFonts w:cs="Arial"/>
                <w:sz w:val="24"/>
                <w:szCs w:val="24"/>
              </w:rPr>
              <w:t xml:space="preserve"> 1</w:t>
            </w:r>
            <w:r w:rsidR="007A3005">
              <w:rPr>
                <w:rFonts w:cs="Arial"/>
                <w:sz w:val="24"/>
                <w:szCs w:val="24"/>
              </w:rPr>
              <w:t>8</w:t>
            </w:r>
            <w:r w:rsidR="003554DB">
              <w:rPr>
                <w:rFonts w:cs="Arial"/>
                <w:sz w:val="24"/>
                <w:szCs w:val="24"/>
              </w:rPr>
              <w:t xml:space="preserve"> April 2019</w:t>
            </w:r>
            <w:r w:rsidRPr="00A423FD">
              <w:rPr>
                <w:rFonts w:cs="Arial"/>
                <w:sz w:val="24"/>
                <w:szCs w:val="24"/>
              </w:rPr>
              <w:t>.</w:t>
            </w:r>
            <w:r>
              <w:rPr>
                <w:rFonts w:cs="Arial"/>
                <w:sz w:val="24"/>
                <w:szCs w:val="24"/>
              </w:rPr>
              <w:t xml:space="preserve">  </w:t>
            </w:r>
            <w:r w:rsidR="00356F05">
              <w:rPr>
                <w:rFonts w:cs="Arial"/>
                <w:sz w:val="24"/>
                <w:szCs w:val="24"/>
              </w:rPr>
              <w:t xml:space="preserve">Central </w:t>
            </w:r>
            <w:r w:rsidR="00042F2F">
              <w:rPr>
                <w:rFonts w:cs="Arial"/>
                <w:sz w:val="24"/>
                <w:szCs w:val="24"/>
              </w:rPr>
              <w:t>contracting</w:t>
            </w:r>
            <w:r w:rsidR="00356F05">
              <w:rPr>
                <w:rFonts w:cs="Arial"/>
                <w:sz w:val="24"/>
                <w:szCs w:val="24"/>
              </w:rPr>
              <w:t xml:space="preserve"> authorities (that are named in Schedule 1 of the Public Contract (Scotland) Regulations 2015) must be compliant with this date with all other Scottish public bodies (such as local authorities and universities and colleges) </w:t>
            </w:r>
            <w:r w:rsidR="00410E71">
              <w:rPr>
                <w:rFonts w:cs="Arial"/>
                <w:sz w:val="24"/>
                <w:szCs w:val="24"/>
              </w:rPr>
              <w:t xml:space="preserve">may have </w:t>
            </w:r>
            <w:r w:rsidR="00356F05">
              <w:rPr>
                <w:rFonts w:cs="Arial"/>
                <w:sz w:val="24"/>
                <w:szCs w:val="24"/>
              </w:rPr>
              <w:t>a further 12 months to be compliant (no later than</w:t>
            </w:r>
            <w:r w:rsidR="003554DB">
              <w:rPr>
                <w:rFonts w:cs="Arial"/>
                <w:sz w:val="24"/>
                <w:szCs w:val="24"/>
              </w:rPr>
              <w:t xml:space="preserve"> 1</w:t>
            </w:r>
            <w:r w:rsidR="007A3005">
              <w:rPr>
                <w:rFonts w:cs="Arial"/>
                <w:sz w:val="24"/>
                <w:szCs w:val="24"/>
              </w:rPr>
              <w:t>8</w:t>
            </w:r>
            <w:r w:rsidR="003554DB">
              <w:rPr>
                <w:rFonts w:cs="Arial"/>
                <w:sz w:val="24"/>
                <w:szCs w:val="24"/>
              </w:rPr>
              <w:t xml:space="preserve"> April 2020</w:t>
            </w:r>
            <w:r w:rsidR="00356F05">
              <w:rPr>
                <w:rFonts w:cs="Arial"/>
                <w:sz w:val="24"/>
                <w:szCs w:val="24"/>
              </w:rPr>
              <w:t>).</w:t>
            </w:r>
          </w:p>
          <w:p w:rsidR="00356F05" w:rsidRDefault="00356F05"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p>
          <w:p w:rsidR="00356F05" w:rsidRDefault="00356F05" w:rsidP="005254D4">
            <w:pPr>
              <w:tabs>
                <w:tab w:val="left" w:pos="720"/>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The Scottish Government is actively engaging with all Scottish </w:t>
            </w:r>
            <w:r w:rsidR="00951333">
              <w:rPr>
                <w:rFonts w:cs="Arial"/>
                <w:sz w:val="24"/>
                <w:szCs w:val="24"/>
              </w:rPr>
              <w:t>contracting authorities</w:t>
            </w:r>
            <w:r>
              <w:rPr>
                <w:rFonts w:cs="Arial"/>
                <w:sz w:val="24"/>
                <w:szCs w:val="24"/>
              </w:rPr>
              <w:t xml:space="preserve"> to ensure that they are fully aware of not only the requirements of the Directive but the timescales for compliance.  For those public bodies that intend to implement the Scottish Government’s eInvoicing solution, Scottish Procurement &amp; Commercial Directorate will manage all implementations. </w:t>
            </w:r>
          </w:p>
          <w:p w:rsidR="00356F05" w:rsidRDefault="00356F05" w:rsidP="005254D4">
            <w:pPr>
              <w:tabs>
                <w:tab w:val="left" w:pos="720"/>
                <w:tab w:val="left" w:pos="1440"/>
                <w:tab w:val="left" w:pos="2160"/>
                <w:tab w:val="left" w:pos="2880"/>
                <w:tab w:val="left" w:pos="4680"/>
                <w:tab w:val="left" w:pos="5400"/>
                <w:tab w:val="right" w:pos="9000"/>
              </w:tabs>
              <w:spacing w:line="240" w:lineRule="atLeast"/>
              <w:ind w:left="360"/>
              <w:jc w:val="both"/>
              <w:rPr>
                <w:rFonts w:cs="Arial"/>
                <w:sz w:val="24"/>
                <w:szCs w:val="24"/>
              </w:rPr>
            </w:pPr>
          </w:p>
          <w:p w:rsidR="00BE6190" w:rsidRDefault="00BE6190"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As part of the</w:t>
            </w:r>
            <w:r w:rsidR="00597FAD">
              <w:rPr>
                <w:rFonts w:cs="Arial"/>
                <w:sz w:val="24"/>
                <w:szCs w:val="24"/>
              </w:rPr>
              <w:t xml:space="preserve"> implementation plan, the S</w:t>
            </w:r>
            <w:r w:rsidR="00FE5B30">
              <w:rPr>
                <w:rFonts w:cs="Arial"/>
                <w:sz w:val="24"/>
                <w:szCs w:val="24"/>
              </w:rPr>
              <w:t xml:space="preserve">cottish </w:t>
            </w:r>
            <w:r w:rsidR="00597FAD">
              <w:rPr>
                <w:rFonts w:cs="Arial"/>
                <w:sz w:val="24"/>
                <w:szCs w:val="24"/>
              </w:rPr>
              <w:t>G</w:t>
            </w:r>
            <w:r w:rsidR="00FE5B30">
              <w:rPr>
                <w:rFonts w:cs="Arial"/>
                <w:sz w:val="24"/>
                <w:szCs w:val="24"/>
              </w:rPr>
              <w:t>overnment</w:t>
            </w:r>
            <w:r>
              <w:rPr>
                <w:rFonts w:cs="Arial"/>
                <w:sz w:val="24"/>
                <w:szCs w:val="24"/>
              </w:rPr>
              <w:t xml:space="preserve">  will continue to issue updates </w:t>
            </w:r>
            <w:r w:rsidR="00FE5B30">
              <w:rPr>
                <w:rFonts w:cs="Arial"/>
                <w:sz w:val="24"/>
                <w:szCs w:val="24"/>
              </w:rPr>
              <w:t xml:space="preserve">to all relevant stakeholders </w:t>
            </w:r>
            <w:r>
              <w:rPr>
                <w:rFonts w:cs="Arial"/>
                <w:sz w:val="24"/>
                <w:szCs w:val="24"/>
              </w:rPr>
              <w:t>on the</w:t>
            </w:r>
            <w:r w:rsidR="00FE5B30">
              <w:rPr>
                <w:rFonts w:cs="Arial"/>
                <w:sz w:val="24"/>
                <w:szCs w:val="24"/>
              </w:rPr>
              <w:t xml:space="preserve"> progress of the implementation of the Directive</w:t>
            </w:r>
            <w:r>
              <w:rPr>
                <w:rFonts w:cs="Arial"/>
                <w:sz w:val="24"/>
                <w:szCs w:val="24"/>
              </w:rPr>
              <w:t xml:space="preserve"> </w:t>
            </w:r>
            <w:r w:rsidR="00FE5B30">
              <w:rPr>
                <w:rFonts w:cs="Arial"/>
                <w:sz w:val="24"/>
                <w:szCs w:val="24"/>
              </w:rPr>
              <w:t>via communication</w:t>
            </w:r>
            <w:r>
              <w:rPr>
                <w:rFonts w:cs="Arial"/>
                <w:sz w:val="24"/>
                <w:szCs w:val="24"/>
              </w:rPr>
              <w:t xml:space="preserve"> channels such as Scottish Procurement Policy Notes (</w:t>
            </w:r>
            <w:proofErr w:type="spellStart"/>
            <w:r>
              <w:rPr>
                <w:rFonts w:cs="Arial"/>
                <w:sz w:val="24"/>
                <w:szCs w:val="24"/>
              </w:rPr>
              <w:t>SPPNs</w:t>
            </w:r>
            <w:proofErr w:type="spellEnd"/>
            <w:r>
              <w:rPr>
                <w:rFonts w:cs="Arial"/>
                <w:sz w:val="24"/>
                <w:szCs w:val="24"/>
              </w:rPr>
              <w:t>)</w:t>
            </w:r>
            <w:r w:rsidR="00356F05">
              <w:rPr>
                <w:rFonts w:cs="Arial"/>
                <w:sz w:val="24"/>
                <w:szCs w:val="24"/>
              </w:rPr>
              <w:t xml:space="preserve">, Scottish Procurement twitter account, Scottish Procurement </w:t>
            </w:r>
            <w:proofErr w:type="spellStart"/>
            <w:r w:rsidR="00356F05">
              <w:rPr>
                <w:rFonts w:cs="Arial"/>
                <w:sz w:val="24"/>
                <w:szCs w:val="24"/>
              </w:rPr>
              <w:t>eBulletins</w:t>
            </w:r>
            <w:proofErr w:type="spellEnd"/>
            <w:r w:rsidR="00356F05">
              <w:rPr>
                <w:rFonts w:cs="Arial"/>
                <w:sz w:val="24"/>
                <w:szCs w:val="24"/>
              </w:rPr>
              <w:t xml:space="preserve">, </w:t>
            </w:r>
            <w:proofErr w:type="spellStart"/>
            <w:r w:rsidR="00356F05">
              <w:rPr>
                <w:rFonts w:cs="Arial"/>
                <w:sz w:val="24"/>
                <w:szCs w:val="24"/>
              </w:rPr>
              <w:t>P2P</w:t>
            </w:r>
            <w:proofErr w:type="spellEnd"/>
            <w:r w:rsidR="00356F05">
              <w:rPr>
                <w:rFonts w:cs="Arial"/>
                <w:sz w:val="24"/>
                <w:szCs w:val="24"/>
              </w:rPr>
              <w:t xml:space="preserve"> </w:t>
            </w:r>
            <w:proofErr w:type="spellStart"/>
            <w:r w:rsidR="00356F05">
              <w:rPr>
                <w:rFonts w:cs="Arial"/>
                <w:sz w:val="24"/>
                <w:szCs w:val="24"/>
              </w:rPr>
              <w:t>Roadshows</w:t>
            </w:r>
            <w:proofErr w:type="spellEnd"/>
            <w:r w:rsidR="00356F05">
              <w:rPr>
                <w:rFonts w:cs="Arial"/>
                <w:sz w:val="24"/>
                <w:szCs w:val="24"/>
              </w:rPr>
              <w:t xml:space="preserve"> and Procurex</w:t>
            </w:r>
            <w:r w:rsidR="005254D4">
              <w:rPr>
                <w:rFonts w:cs="Arial"/>
                <w:sz w:val="24"/>
                <w:szCs w:val="24"/>
              </w:rPr>
              <w:t xml:space="preserve"> Scotland</w:t>
            </w:r>
            <w:r w:rsidR="00FE5B30">
              <w:rPr>
                <w:rFonts w:cs="Arial"/>
                <w:sz w:val="24"/>
                <w:szCs w:val="24"/>
              </w:rPr>
              <w:t>.</w:t>
            </w:r>
          </w:p>
          <w:p w:rsidR="00BE6190" w:rsidRDefault="00BE6190"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BB41B6" w:rsidRDefault="00BB41B6"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Post-implementation review</w:t>
            </w:r>
          </w:p>
          <w:p w:rsidR="00356F05" w:rsidRDefault="00356F05"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DD1E3E" w:rsidRDefault="00356F05"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Pr>
                <w:rFonts w:cs="Arial"/>
                <w:sz w:val="24"/>
                <w:szCs w:val="24"/>
              </w:rPr>
              <w:t xml:space="preserve">The Scottish Government will monitor the implementation of eInvoicing across the Scottish public sector.  </w:t>
            </w:r>
          </w:p>
          <w:p w:rsidR="005254D4" w:rsidRPr="00DD3B38" w:rsidRDefault="005254D4"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tc>
      </w:tr>
      <w:tr w:rsidR="0096546A" w:rsidRPr="00DD3B38" w:rsidTr="00FF0EE2">
        <w:tc>
          <w:tcPr>
            <w:tcW w:w="5000" w:type="pct"/>
            <w:shd w:val="clear" w:color="auto" w:fill="auto"/>
          </w:tcPr>
          <w:p w:rsidR="00042F2F" w:rsidRDefault="00DD1E3E" w:rsidP="005254D4">
            <w:pPr>
              <w:pStyle w:val="ListParagraph"/>
              <w:numPr>
                <w:ilvl w:val="0"/>
                <w:numId w:val="34"/>
              </w:numPr>
            </w:pPr>
            <w:r w:rsidRPr="00AA13C7">
              <w:rPr>
                <w:rFonts w:cs="Arial"/>
                <w:b/>
                <w:szCs w:val="24"/>
              </w:rPr>
              <w:t>Summary and recommendation</w:t>
            </w:r>
            <w:r w:rsidR="00E1039A" w:rsidRPr="00AA13C7">
              <w:rPr>
                <w:rFonts w:cs="Arial"/>
                <w:b/>
                <w:szCs w:val="24"/>
              </w:rPr>
              <w:t xml:space="preserve"> </w:t>
            </w:r>
          </w:p>
          <w:p w:rsidR="00042F2F" w:rsidRDefault="00042F2F" w:rsidP="005254D4">
            <w:pPr>
              <w:tabs>
                <w:tab w:val="left" w:pos="1440"/>
                <w:tab w:val="left" w:pos="2160"/>
                <w:tab w:val="left" w:pos="2880"/>
                <w:tab w:val="left" w:pos="4680"/>
                <w:tab w:val="left" w:pos="5400"/>
                <w:tab w:val="right" w:pos="9000"/>
              </w:tabs>
              <w:spacing w:line="240" w:lineRule="atLeast"/>
              <w:jc w:val="both"/>
              <w:rPr>
                <w:sz w:val="24"/>
                <w:szCs w:val="24"/>
              </w:rPr>
            </w:pPr>
          </w:p>
          <w:p w:rsidR="00D7426B" w:rsidRDefault="00042F2F"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Pr>
                <w:sz w:val="24"/>
                <w:szCs w:val="24"/>
              </w:rPr>
              <w:t xml:space="preserve">It is recommended that EU </w:t>
            </w:r>
            <w:r>
              <w:rPr>
                <w:rFonts w:cs="Arial"/>
                <w:sz w:val="24"/>
                <w:szCs w:val="24"/>
              </w:rPr>
              <w:t>Directive 2014/55/EU for electronic invoicing is transposed through amendment to the Public Contracts (Scotland) Regulations  2015</w:t>
            </w:r>
          </w:p>
          <w:p w:rsidR="00D7426B" w:rsidRDefault="00D7426B"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DD1E3E" w:rsidRDefault="00DD1E3E" w:rsidP="005254D4">
            <w:pPr>
              <w:numPr>
                <w:ilvl w:val="0"/>
                <w:numId w:val="13"/>
              </w:numPr>
              <w:tabs>
                <w:tab w:val="clear" w:pos="1080"/>
                <w:tab w:val="num" w:pos="426"/>
                <w:tab w:val="left" w:pos="2160"/>
                <w:tab w:val="left" w:pos="2880"/>
                <w:tab w:val="left" w:pos="4680"/>
                <w:tab w:val="left" w:pos="5400"/>
                <w:tab w:val="right" w:pos="9000"/>
              </w:tabs>
              <w:spacing w:line="240" w:lineRule="atLeast"/>
              <w:ind w:left="426"/>
              <w:jc w:val="both"/>
              <w:rPr>
                <w:rFonts w:cs="Arial"/>
                <w:b/>
                <w:sz w:val="24"/>
                <w:szCs w:val="24"/>
              </w:rPr>
            </w:pPr>
            <w:r w:rsidRPr="00DD3B38">
              <w:rPr>
                <w:rFonts w:cs="Arial"/>
                <w:b/>
                <w:sz w:val="24"/>
                <w:szCs w:val="24"/>
              </w:rPr>
              <w:t>Summary costs and benefits table</w:t>
            </w:r>
          </w:p>
          <w:p w:rsidR="0073692A" w:rsidRPr="00DD3B38" w:rsidRDefault="0073692A" w:rsidP="0073692A">
            <w:pPr>
              <w:tabs>
                <w:tab w:val="left" w:pos="2160"/>
                <w:tab w:val="left" w:pos="2880"/>
                <w:tab w:val="left" w:pos="4680"/>
                <w:tab w:val="left" w:pos="5400"/>
                <w:tab w:val="right" w:pos="9000"/>
              </w:tabs>
              <w:spacing w:line="240" w:lineRule="atLeast"/>
              <w:ind w:left="66"/>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4021"/>
              <w:gridCol w:w="4130"/>
            </w:tblGrid>
            <w:tr w:rsidR="00296A5C" w:rsidRPr="00DD3B38" w:rsidTr="00D820C2">
              <w:tc>
                <w:tcPr>
                  <w:tcW w:w="0" w:type="auto"/>
                  <w:shd w:val="clear" w:color="auto" w:fill="A6A6A6"/>
                </w:tcPr>
                <w:p w:rsidR="00296A5C" w:rsidRPr="00DD3B38" w:rsidRDefault="00296A5C" w:rsidP="005254D4">
                  <w:pPr>
                    <w:jc w:val="both"/>
                    <w:rPr>
                      <w:rFonts w:cs="Arial"/>
                      <w:szCs w:val="24"/>
                    </w:rPr>
                  </w:pPr>
                  <w:r w:rsidRPr="00DD3B38">
                    <w:rPr>
                      <w:rFonts w:cs="Arial"/>
                      <w:szCs w:val="24"/>
                    </w:rPr>
                    <w:t>Option</w:t>
                  </w:r>
                </w:p>
              </w:tc>
              <w:tc>
                <w:tcPr>
                  <w:tcW w:w="4031" w:type="dxa"/>
                  <w:shd w:val="clear" w:color="auto" w:fill="A6A6A6"/>
                </w:tcPr>
                <w:p w:rsidR="00296A5C" w:rsidRPr="00DD3B38" w:rsidRDefault="00296A5C" w:rsidP="005254D4">
                  <w:pPr>
                    <w:jc w:val="both"/>
                    <w:rPr>
                      <w:rFonts w:cs="Arial"/>
                      <w:szCs w:val="24"/>
                    </w:rPr>
                  </w:pPr>
                  <w:r w:rsidRPr="00DD3B38">
                    <w:rPr>
                      <w:rFonts w:cs="Arial"/>
                      <w:szCs w:val="24"/>
                    </w:rPr>
                    <w:t xml:space="preserve">Total benefit per annum:  </w:t>
                  </w:r>
                </w:p>
                <w:p w:rsidR="00296A5C" w:rsidRPr="00DD3B38" w:rsidRDefault="00296A5C" w:rsidP="005254D4">
                  <w:pPr>
                    <w:jc w:val="both"/>
                    <w:rPr>
                      <w:rFonts w:cs="Arial"/>
                      <w:szCs w:val="24"/>
                    </w:rPr>
                  </w:pPr>
                  <w:r w:rsidRPr="00DD3B38">
                    <w:rPr>
                      <w:rFonts w:cs="Arial"/>
                      <w:szCs w:val="24"/>
                    </w:rPr>
                    <w:t>- economic, environmental, social</w:t>
                  </w:r>
                </w:p>
              </w:tc>
              <w:tc>
                <w:tcPr>
                  <w:tcW w:w="4140" w:type="dxa"/>
                  <w:shd w:val="clear" w:color="auto" w:fill="A6A6A6"/>
                </w:tcPr>
                <w:p w:rsidR="00296A5C" w:rsidRPr="00DD3B38" w:rsidRDefault="00296A5C" w:rsidP="005254D4">
                  <w:pPr>
                    <w:jc w:val="both"/>
                    <w:rPr>
                      <w:rFonts w:cs="Arial"/>
                      <w:szCs w:val="24"/>
                    </w:rPr>
                  </w:pPr>
                  <w:r w:rsidRPr="00DD3B38">
                    <w:rPr>
                      <w:rFonts w:cs="Arial"/>
                      <w:szCs w:val="24"/>
                    </w:rPr>
                    <w:t>Total cost per annum:</w:t>
                  </w:r>
                </w:p>
                <w:p w:rsidR="00296A5C" w:rsidRPr="00DD3B38" w:rsidRDefault="00296A5C" w:rsidP="005254D4">
                  <w:pPr>
                    <w:jc w:val="both"/>
                    <w:rPr>
                      <w:rFonts w:cs="Arial"/>
                      <w:szCs w:val="24"/>
                    </w:rPr>
                  </w:pPr>
                  <w:r w:rsidRPr="00DD3B38">
                    <w:rPr>
                      <w:rFonts w:cs="Arial"/>
                      <w:szCs w:val="24"/>
                    </w:rPr>
                    <w:t>- economic, environmental, social</w:t>
                  </w:r>
                </w:p>
                <w:p w:rsidR="00296A5C" w:rsidRPr="00DD3B38" w:rsidRDefault="00296A5C" w:rsidP="005254D4">
                  <w:pPr>
                    <w:jc w:val="both"/>
                    <w:rPr>
                      <w:rFonts w:cs="Arial"/>
                      <w:szCs w:val="24"/>
                    </w:rPr>
                  </w:pPr>
                  <w:r w:rsidRPr="00DD3B38">
                    <w:rPr>
                      <w:rFonts w:cs="Arial"/>
                      <w:szCs w:val="24"/>
                    </w:rPr>
                    <w:t>- policy and administrative</w:t>
                  </w:r>
                </w:p>
              </w:tc>
            </w:tr>
            <w:tr w:rsidR="00296A5C" w:rsidRPr="00DD3B38" w:rsidTr="00D820C2">
              <w:tc>
                <w:tcPr>
                  <w:tcW w:w="0" w:type="auto"/>
                  <w:shd w:val="clear" w:color="auto" w:fill="auto"/>
                </w:tcPr>
                <w:p w:rsidR="00296A5C" w:rsidRPr="00DD3B38" w:rsidRDefault="00296A5C" w:rsidP="005254D4">
                  <w:pPr>
                    <w:jc w:val="both"/>
                    <w:rPr>
                      <w:rFonts w:cs="Arial"/>
                      <w:szCs w:val="24"/>
                    </w:rPr>
                  </w:pPr>
                  <w:r w:rsidRPr="00DD3B38">
                    <w:rPr>
                      <w:rFonts w:cs="Arial"/>
                      <w:szCs w:val="24"/>
                    </w:rPr>
                    <w:t>1</w:t>
                  </w:r>
                </w:p>
              </w:tc>
              <w:tc>
                <w:tcPr>
                  <w:tcW w:w="4031" w:type="dxa"/>
                  <w:shd w:val="clear" w:color="auto" w:fill="auto"/>
                </w:tcPr>
                <w:p w:rsidR="00296A5C" w:rsidRPr="00DD3B38" w:rsidRDefault="00296A5C" w:rsidP="005254D4">
                  <w:pPr>
                    <w:jc w:val="both"/>
                    <w:rPr>
                      <w:rFonts w:cs="Arial"/>
                      <w:szCs w:val="24"/>
                    </w:rPr>
                  </w:pPr>
                </w:p>
              </w:tc>
              <w:tc>
                <w:tcPr>
                  <w:tcW w:w="4140" w:type="dxa"/>
                  <w:shd w:val="clear" w:color="auto" w:fill="auto"/>
                </w:tcPr>
                <w:p w:rsidR="00296A5C" w:rsidRPr="00DD3B38" w:rsidRDefault="00296A5C" w:rsidP="005254D4">
                  <w:pPr>
                    <w:jc w:val="both"/>
                    <w:rPr>
                      <w:rFonts w:cs="Arial"/>
                      <w:szCs w:val="24"/>
                    </w:rPr>
                  </w:pPr>
                </w:p>
              </w:tc>
            </w:tr>
            <w:tr w:rsidR="00296A5C" w:rsidRPr="00DD3B38" w:rsidTr="00D820C2">
              <w:tc>
                <w:tcPr>
                  <w:tcW w:w="0" w:type="auto"/>
                  <w:shd w:val="clear" w:color="auto" w:fill="auto"/>
                </w:tcPr>
                <w:p w:rsidR="00296A5C" w:rsidRPr="00DD3B38" w:rsidRDefault="00296A5C" w:rsidP="005254D4">
                  <w:pPr>
                    <w:jc w:val="both"/>
                    <w:rPr>
                      <w:rFonts w:cs="Arial"/>
                      <w:szCs w:val="24"/>
                    </w:rPr>
                  </w:pPr>
                  <w:r w:rsidRPr="00DD3B38">
                    <w:rPr>
                      <w:rFonts w:cs="Arial"/>
                      <w:szCs w:val="24"/>
                    </w:rPr>
                    <w:t>2</w:t>
                  </w:r>
                </w:p>
              </w:tc>
              <w:tc>
                <w:tcPr>
                  <w:tcW w:w="4031" w:type="dxa"/>
                  <w:shd w:val="clear" w:color="auto" w:fill="auto"/>
                </w:tcPr>
                <w:p w:rsidR="00296A5C" w:rsidRPr="00DD3B38" w:rsidRDefault="00296A5C" w:rsidP="005254D4">
                  <w:pPr>
                    <w:jc w:val="both"/>
                    <w:rPr>
                      <w:rFonts w:cs="Arial"/>
                      <w:szCs w:val="24"/>
                    </w:rPr>
                  </w:pPr>
                </w:p>
              </w:tc>
              <w:tc>
                <w:tcPr>
                  <w:tcW w:w="4140" w:type="dxa"/>
                  <w:shd w:val="clear" w:color="auto" w:fill="auto"/>
                </w:tcPr>
                <w:p w:rsidR="00296A5C" w:rsidRPr="00DD3B38" w:rsidRDefault="00296A5C" w:rsidP="005254D4">
                  <w:pPr>
                    <w:jc w:val="both"/>
                    <w:rPr>
                      <w:rFonts w:cs="Arial"/>
                      <w:szCs w:val="24"/>
                    </w:rPr>
                  </w:pPr>
                </w:p>
              </w:tc>
            </w:tr>
            <w:tr w:rsidR="00296A5C" w:rsidRPr="00DD3B38" w:rsidTr="00D820C2">
              <w:tc>
                <w:tcPr>
                  <w:tcW w:w="0" w:type="auto"/>
                  <w:shd w:val="clear" w:color="auto" w:fill="auto"/>
                </w:tcPr>
                <w:p w:rsidR="00296A5C" w:rsidRPr="00DD3B38" w:rsidRDefault="00296A5C" w:rsidP="005254D4">
                  <w:pPr>
                    <w:jc w:val="both"/>
                    <w:rPr>
                      <w:rFonts w:cs="Arial"/>
                      <w:szCs w:val="24"/>
                    </w:rPr>
                  </w:pPr>
                  <w:r w:rsidRPr="00DD3B38">
                    <w:rPr>
                      <w:rFonts w:cs="Arial"/>
                      <w:szCs w:val="24"/>
                    </w:rPr>
                    <w:t>3</w:t>
                  </w:r>
                </w:p>
              </w:tc>
              <w:tc>
                <w:tcPr>
                  <w:tcW w:w="4031" w:type="dxa"/>
                  <w:shd w:val="clear" w:color="auto" w:fill="auto"/>
                </w:tcPr>
                <w:p w:rsidR="00296A5C" w:rsidRPr="00DD3B38" w:rsidRDefault="00296A5C" w:rsidP="005254D4">
                  <w:pPr>
                    <w:jc w:val="both"/>
                    <w:rPr>
                      <w:rFonts w:cs="Arial"/>
                      <w:szCs w:val="24"/>
                    </w:rPr>
                  </w:pPr>
                </w:p>
              </w:tc>
              <w:tc>
                <w:tcPr>
                  <w:tcW w:w="4140" w:type="dxa"/>
                  <w:shd w:val="clear" w:color="auto" w:fill="auto"/>
                </w:tcPr>
                <w:p w:rsidR="00296A5C" w:rsidRPr="00DD3B38" w:rsidRDefault="00296A5C" w:rsidP="005254D4">
                  <w:pPr>
                    <w:jc w:val="both"/>
                    <w:rPr>
                      <w:rFonts w:cs="Arial"/>
                      <w:szCs w:val="24"/>
                    </w:rPr>
                  </w:pPr>
                </w:p>
              </w:tc>
            </w:tr>
            <w:tr w:rsidR="00296A5C" w:rsidRPr="00DD3B38" w:rsidTr="00D820C2">
              <w:tc>
                <w:tcPr>
                  <w:tcW w:w="0" w:type="auto"/>
                  <w:shd w:val="clear" w:color="auto" w:fill="auto"/>
                </w:tcPr>
                <w:p w:rsidR="00296A5C" w:rsidRPr="00DD3B38" w:rsidRDefault="00296A5C" w:rsidP="005254D4">
                  <w:pPr>
                    <w:jc w:val="both"/>
                    <w:rPr>
                      <w:rFonts w:cs="Arial"/>
                      <w:szCs w:val="24"/>
                    </w:rPr>
                  </w:pPr>
                  <w:r w:rsidRPr="00DD3B38">
                    <w:rPr>
                      <w:rFonts w:cs="Arial"/>
                      <w:szCs w:val="24"/>
                    </w:rPr>
                    <w:t>4</w:t>
                  </w:r>
                </w:p>
              </w:tc>
              <w:tc>
                <w:tcPr>
                  <w:tcW w:w="4031" w:type="dxa"/>
                  <w:shd w:val="clear" w:color="auto" w:fill="auto"/>
                </w:tcPr>
                <w:p w:rsidR="00296A5C" w:rsidRPr="00DD3B38" w:rsidRDefault="00296A5C" w:rsidP="005254D4">
                  <w:pPr>
                    <w:jc w:val="both"/>
                    <w:rPr>
                      <w:rFonts w:cs="Arial"/>
                      <w:szCs w:val="24"/>
                    </w:rPr>
                  </w:pPr>
                </w:p>
              </w:tc>
              <w:tc>
                <w:tcPr>
                  <w:tcW w:w="4140" w:type="dxa"/>
                  <w:shd w:val="clear" w:color="auto" w:fill="auto"/>
                </w:tcPr>
                <w:p w:rsidR="00296A5C" w:rsidRPr="00DD3B38" w:rsidRDefault="00296A5C" w:rsidP="005254D4">
                  <w:pPr>
                    <w:jc w:val="both"/>
                    <w:rPr>
                      <w:rFonts w:cs="Arial"/>
                      <w:szCs w:val="24"/>
                    </w:rPr>
                  </w:pPr>
                </w:p>
              </w:tc>
            </w:tr>
          </w:tbl>
          <w:p w:rsidR="00DD1E3E" w:rsidRDefault="00DD1E3E" w:rsidP="005254D4">
            <w:pPr>
              <w:tabs>
                <w:tab w:val="left" w:pos="720"/>
                <w:tab w:val="left" w:pos="1440"/>
                <w:tab w:val="left" w:pos="2160"/>
                <w:tab w:val="left" w:pos="2880"/>
                <w:tab w:val="left" w:pos="4680"/>
                <w:tab w:val="left" w:pos="5400"/>
                <w:tab w:val="right" w:pos="9000"/>
              </w:tabs>
              <w:spacing w:line="240" w:lineRule="atLeast"/>
              <w:jc w:val="both"/>
              <w:rPr>
                <w:rFonts w:cs="Arial"/>
                <w:b/>
                <w:sz w:val="24"/>
                <w:szCs w:val="24"/>
              </w:rPr>
            </w:pPr>
          </w:p>
          <w:p w:rsidR="00DD1E3E" w:rsidRPr="003572AC" w:rsidRDefault="00756957" w:rsidP="005254D4">
            <w:pPr>
              <w:tabs>
                <w:tab w:val="left" w:pos="720"/>
                <w:tab w:val="left" w:pos="1440"/>
                <w:tab w:val="left" w:pos="2160"/>
                <w:tab w:val="left" w:pos="2880"/>
                <w:tab w:val="left" w:pos="4680"/>
                <w:tab w:val="left" w:pos="5400"/>
                <w:tab w:val="right" w:pos="9000"/>
              </w:tabs>
              <w:spacing w:line="240" w:lineRule="atLeast"/>
              <w:jc w:val="both"/>
              <w:rPr>
                <w:rFonts w:cs="Arial"/>
                <w:color w:val="000000" w:themeColor="text1"/>
                <w:sz w:val="24"/>
                <w:szCs w:val="24"/>
              </w:rPr>
            </w:pPr>
            <w:r>
              <w:rPr>
                <w:rFonts w:cs="Arial"/>
                <w:color w:val="000000" w:themeColor="text1"/>
                <w:sz w:val="24"/>
                <w:szCs w:val="24"/>
              </w:rPr>
              <w:t>Summary and costs will be confirmed once the</w:t>
            </w:r>
            <w:r w:rsidR="00825C28">
              <w:rPr>
                <w:rFonts w:cs="Arial"/>
                <w:color w:val="000000" w:themeColor="text1"/>
                <w:sz w:val="24"/>
                <w:szCs w:val="24"/>
              </w:rPr>
              <w:t xml:space="preserve"> consultation has been completed</w:t>
            </w:r>
            <w:r>
              <w:rPr>
                <w:rFonts w:cs="Arial"/>
                <w:color w:val="000000" w:themeColor="text1"/>
                <w:sz w:val="24"/>
                <w:szCs w:val="24"/>
              </w:rPr>
              <w:t xml:space="preserve"> and the Final BRIA is submitted</w:t>
            </w:r>
            <w:r w:rsidR="005254D4">
              <w:rPr>
                <w:rFonts w:cs="Arial"/>
                <w:color w:val="000000" w:themeColor="text1"/>
                <w:sz w:val="24"/>
                <w:szCs w:val="24"/>
              </w:rPr>
              <w:t>.</w:t>
            </w:r>
          </w:p>
        </w:tc>
      </w:tr>
      <w:tr w:rsidR="0096546A" w:rsidRPr="00DD3B38" w:rsidTr="00FF0EE2">
        <w:trPr>
          <w:trHeight w:val="7725"/>
        </w:trPr>
        <w:tc>
          <w:tcPr>
            <w:tcW w:w="5000" w:type="pct"/>
            <w:shd w:val="clear" w:color="auto" w:fill="auto"/>
          </w:tcPr>
          <w:p w:rsidR="0096546A" w:rsidRDefault="00DD1E3E"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lastRenderedPageBreak/>
              <w:t>Declaration and publication</w:t>
            </w:r>
            <w:r w:rsidR="00E1039A" w:rsidRPr="00DD3B38">
              <w:rPr>
                <w:rFonts w:cs="Arial"/>
                <w:b/>
                <w:sz w:val="24"/>
                <w:szCs w:val="24"/>
              </w:rPr>
              <w:t xml:space="preserve"> </w:t>
            </w:r>
          </w:p>
          <w:p w:rsidR="005254D4" w:rsidRDefault="005254D4" w:rsidP="005254D4">
            <w:pPr>
              <w:tabs>
                <w:tab w:val="left" w:pos="1440"/>
                <w:tab w:val="left" w:pos="2160"/>
                <w:tab w:val="left" w:pos="2880"/>
                <w:tab w:val="left" w:pos="4680"/>
                <w:tab w:val="left" w:pos="5400"/>
                <w:tab w:val="right" w:pos="9000"/>
              </w:tabs>
              <w:spacing w:line="240" w:lineRule="atLeast"/>
              <w:jc w:val="both"/>
              <w:rPr>
                <w:rFonts w:cs="Arial"/>
                <w:sz w:val="24"/>
                <w:szCs w:val="24"/>
              </w:rPr>
            </w:pPr>
          </w:p>
          <w:p w:rsidR="00EA418F" w:rsidRDefault="00EA418F" w:rsidP="005254D4">
            <w:pPr>
              <w:tabs>
                <w:tab w:val="left" w:pos="1440"/>
                <w:tab w:val="left" w:pos="2160"/>
                <w:tab w:val="left" w:pos="2880"/>
                <w:tab w:val="left" w:pos="4680"/>
                <w:tab w:val="left" w:pos="5400"/>
                <w:tab w:val="right" w:pos="9000"/>
              </w:tabs>
              <w:spacing w:line="240" w:lineRule="atLeast"/>
              <w:jc w:val="both"/>
              <w:rPr>
                <w:rFonts w:cs="Arial"/>
                <w:iCs/>
                <w:sz w:val="24"/>
                <w:szCs w:val="24"/>
              </w:rPr>
            </w:pPr>
            <w:r w:rsidRPr="00DD3B38">
              <w:rPr>
                <w:rFonts w:cs="Arial"/>
                <w:bCs/>
                <w:iCs/>
                <w:sz w:val="24"/>
                <w:szCs w:val="24"/>
                <w:u w:val="single"/>
              </w:rPr>
              <w:t>Sign-off</w:t>
            </w:r>
            <w:r w:rsidRPr="00DD3B38">
              <w:rPr>
                <w:rFonts w:cs="Arial"/>
                <w:iCs/>
                <w:sz w:val="24"/>
                <w:szCs w:val="24"/>
                <w:u w:val="single"/>
              </w:rPr>
              <w:t xml:space="preserve"> for Partial </w:t>
            </w:r>
            <w:proofErr w:type="spellStart"/>
            <w:r w:rsidRPr="00DD3B38">
              <w:rPr>
                <w:rFonts w:cs="Arial"/>
                <w:iCs/>
                <w:sz w:val="24"/>
                <w:szCs w:val="24"/>
                <w:u w:val="single"/>
              </w:rPr>
              <w:t>BRIAs</w:t>
            </w:r>
            <w:proofErr w:type="spellEnd"/>
            <w:r w:rsidRPr="00DD3B38">
              <w:rPr>
                <w:rFonts w:cs="Arial"/>
                <w:iCs/>
                <w:sz w:val="24"/>
                <w:szCs w:val="24"/>
              </w:rPr>
              <w:t>:</w:t>
            </w:r>
          </w:p>
          <w:p w:rsidR="00A62FE6" w:rsidRPr="00DD3B38" w:rsidRDefault="00A62FE6" w:rsidP="005254D4">
            <w:pPr>
              <w:tabs>
                <w:tab w:val="left" w:pos="1440"/>
                <w:tab w:val="left" w:pos="2160"/>
                <w:tab w:val="left" w:pos="2880"/>
                <w:tab w:val="left" w:pos="4680"/>
                <w:tab w:val="left" w:pos="5400"/>
                <w:tab w:val="right" w:pos="9000"/>
              </w:tabs>
              <w:spacing w:line="240" w:lineRule="atLeast"/>
              <w:jc w:val="both"/>
              <w:rPr>
                <w:rFonts w:cs="Arial"/>
                <w:iCs/>
                <w:sz w:val="24"/>
                <w:szCs w:val="24"/>
              </w:rPr>
            </w:pPr>
          </w:p>
          <w:p w:rsidR="00EA418F" w:rsidRPr="00DD3B38" w:rsidRDefault="00EA418F" w:rsidP="005254D4">
            <w:pPr>
              <w:tabs>
                <w:tab w:val="left" w:pos="1440"/>
                <w:tab w:val="left" w:pos="2160"/>
                <w:tab w:val="left" w:pos="2880"/>
                <w:tab w:val="left" w:pos="4680"/>
                <w:tab w:val="left" w:pos="5400"/>
                <w:tab w:val="right" w:pos="9000"/>
              </w:tabs>
              <w:spacing w:line="240" w:lineRule="atLeast"/>
              <w:jc w:val="both"/>
              <w:rPr>
                <w:rFonts w:cs="Arial"/>
                <w:iCs/>
                <w:sz w:val="24"/>
                <w:szCs w:val="24"/>
              </w:rPr>
            </w:pPr>
            <w:r w:rsidRPr="00DD3B38">
              <w:rPr>
                <w:rFonts w:cs="Arial"/>
                <w:iCs/>
                <w:sz w:val="24"/>
                <w:szCs w:val="24"/>
              </w:rPr>
              <w:t>I have read the Business and Regulatory Impact Assessment and I am satisfied that, given the available evidence, it represents a reasonable view of the likely costs, benefits and impact of the leading options.  I am satisfied that business impact has been assessed with the support of businesses in Scotland.</w:t>
            </w:r>
          </w:p>
          <w:p w:rsidR="00B217EA" w:rsidRDefault="00B217EA" w:rsidP="005254D4">
            <w:pPr>
              <w:tabs>
                <w:tab w:val="left" w:pos="1440"/>
                <w:tab w:val="left" w:pos="2160"/>
                <w:tab w:val="left" w:pos="2880"/>
                <w:tab w:val="left" w:pos="4680"/>
                <w:tab w:val="left" w:pos="5400"/>
                <w:tab w:val="right" w:pos="9000"/>
              </w:tabs>
              <w:spacing w:line="240" w:lineRule="atLeast"/>
              <w:jc w:val="both"/>
              <w:rPr>
                <w:rFonts w:cs="Arial"/>
                <w:bCs/>
                <w:iCs/>
                <w:sz w:val="24"/>
                <w:szCs w:val="24"/>
                <w:u w:val="single"/>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Signed:</w:t>
            </w: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Date:</w:t>
            </w: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4D0975"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Pr>
                <w:rFonts w:cs="Arial"/>
                <w:b/>
                <w:sz w:val="24"/>
                <w:szCs w:val="24"/>
              </w:rPr>
              <w:t>Derek Mackay</w:t>
            </w:r>
          </w:p>
          <w:p w:rsidR="00A046DA" w:rsidRPr="00DD3B38" w:rsidRDefault="004D0975"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Pr>
                <w:rFonts w:cs="Arial"/>
                <w:b/>
                <w:sz w:val="24"/>
                <w:szCs w:val="24"/>
              </w:rPr>
              <w:t xml:space="preserve">Cabinet Secretary for </w:t>
            </w:r>
            <w:r w:rsidR="00404BE6">
              <w:rPr>
                <w:rFonts w:cs="Arial"/>
                <w:b/>
                <w:sz w:val="24"/>
                <w:szCs w:val="24"/>
              </w:rPr>
              <w:t>Finance, Economy and Fair Work</w:t>
            </w: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Pr="00DD3B38"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A046DA" w:rsidRDefault="00A046DA"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r w:rsidRPr="00DD3B38">
              <w:rPr>
                <w:rFonts w:cs="Arial"/>
                <w:b/>
                <w:sz w:val="24"/>
                <w:szCs w:val="24"/>
              </w:rPr>
              <w:t>Scottish Government Contact point:</w:t>
            </w:r>
          </w:p>
          <w:p w:rsidR="005254D4" w:rsidRDefault="005254D4" w:rsidP="005254D4">
            <w:pPr>
              <w:tabs>
                <w:tab w:val="left" w:pos="1440"/>
                <w:tab w:val="left" w:pos="2160"/>
                <w:tab w:val="left" w:pos="2880"/>
                <w:tab w:val="left" w:pos="4680"/>
                <w:tab w:val="left" w:pos="5400"/>
                <w:tab w:val="right" w:pos="9000"/>
              </w:tabs>
              <w:spacing w:line="240" w:lineRule="atLeast"/>
              <w:jc w:val="both"/>
              <w:rPr>
                <w:rFonts w:cs="Arial"/>
                <w:b/>
                <w:sz w:val="24"/>
                <w:szCs w:val="24"/>
              </w:rPr>
            </w:pPr>
          </w:p>
          <w:p w:rsidR="005254D4" w:rsidRPr="005254D4" w:rsidRDefault="005254D4"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sidRPr="005254D4">
              <w:rPr>
                <w:rFonts w:cs="Arial"/>
                <w:sz w:val="24"/>
                <w:szCs w:val="24"/>
              </w:rPr>
              <w:t>Jonathan Ross</w:t>
            </w:r>
          </w:p>
          <w:p w:rsidR="005254D4" w:rsidRPr="005254D4" w:rsidRDefault="005254D4" w:rsidP="005254D4">
            <w:pPr>
              <w:tabs>
                <w:tab w:val="left" w:pos="1440"/>
                <w:tab w:val="left" w:pos="2160"/>
                <w:tab w:val="left" w:pos="2880"/>
                <w:tab w:val="left" w:pos="4680"/>
                <w:tab w:val="left" w:pos="5400"/>
                <w:tab w:val="right" w:pos="9000"/>
              </w:tabs>
              <w:spacing w:line="240" w:lineRule="atLeast"/>
              <w:jc w:val="both"/>
              <w:rPr>
                <w:rFonts w:cs="Arial"/>
                <w:sz w:val="24"/>
                <w:szCs w:val="24"/>
              </w:rPr>
            </w:pPr>
            <w:r w:rsidRPr="005254D4">
              <w:rPr>
                <w:rFonts w:cs="Arial"/>
                <w:sz w:val="24"/>
                <w:szCs w:val="24"/>
              </w:rPr>
              <w:t>Scottish Procurement &amp; Commercial Directorate</w:t>
            </w:r>
          </w:p>
          <w:p w:rsidR="00001A69" w:rsidRPr="00DD3B38" w:rsidRDefault="00001A69" w:rsidP="005254D4">
            <w:pPr>
              <w:tabs>
                <w:tab w:val="left" w:pos="720"/>
                <w:tab w:val="left" w:pos="1440"/>
                <w:tab w:val="left" w:pos="2160"/>
                <w:tab w:val="left" w:pos="2880"/>
                <w:tab w:val="left" w:pos="4680"/>
                <w:tab w:val="left" w:pos="5400"/>
                <w:tab w:val="right" w:pos="9000"/>
              </w:tabs>
              <w:spacing w:line="240" w:lineRule="atLeast"/>
              <w:jc w:val="both"/>
              <w:rPr>
                <w:rFonts w:cs="Arial"/>
                <w:b/>
                <w:sz w:val="24"/>
                <w:szCs w:val="24"/>
              </w:rPr>
            </w:pPr>
          </w:p>
        </w:tc>
      </w:tr>
    </w:tbl>
    <w:p w:rsidR="00A10ADE" w:rsidRPr="00DD3B38" w:rsidRDefault="00A10ADE" w:rsidP="005254D4">
      <w:pPr>
        <w:jc w:val="both"/>
        <w:rPr>
          <w:rFonts w:cs="Arial"/>
          <w:color w:val="000000"/>
          <w:szCs w:val="24"/>
        </w:rPr>
      </w:pPr>
    </w:p>
    <w:sectPr w:rsidR="00A10ADE" w:rsidRPr="00DD3B38" w:rsidSect="000F62D0">
      <w:head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BED" w:rsidRDefault="007D3BED">
      <w:r>
        <w:separator/>
      </w:r>
    </w:p>
  </w:endnote>
  <w:endnote w:type="continuationSeparator" w:id="0">
    <w:p w:rsidR="007D3BED" w:rsidRDefault="007D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BED" w:rsidRDefault="007D3BED">
      <w:r>
        <w:separator/>
      </w:r>
    </w:p>
  </w:footnote>
  <w:footnote w:type="continuationSeparator" w:id="0">
    <w:p w:rsidR="007D3BED" w:rsidRDefault="007D3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68" w:rsidRPr="0067486A" w:rsidRDefault="00506C68"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3EF0A9A"/>
    <w:multiLevelType w:val="hybridMultilevel"/>
    <w:tmpl w:val="E1BCA9CE"/>
    <w:lvl w:ilvl="0" w:tplc="D786E53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541500"/>
    <w:multiLevelType w:val="hybridMultilevel"/>
    <w:tmpl w:val="A4ACC518"/>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A6C03B5"/>
    <w:multiLevelType w:val="hybridMultilevel"/>
    <w:tmpl w:val="E87A12CE"/>
    <w:lvl w:ilvl="0" w:tplc="D786E53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D8559E6"/>
    <w:multiLevelType w:val="hybridMultilevel"/>
    <w:tmpl w:val="1E48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8C31A7"/>
    <w:multiLevelType w:val="hybridMultilevel"/>
    <w:tmpl w:val="3A28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9518F2"/>
    <w:multiLevelType w:val="multilevel"/>
    <w:tmpl w:val="5FA2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D5AB5"/>
    <w:multiLevelType w:val="hybridMultilevel"/>
    <w:tmpl w:val="8F24E4E6"/>
    <w:lvl w:ilvl="0" w:tplc="0809000F">
      <w:start w:val="1"/>
      <w:numFmt w:val="decimal"/>
      <w:lvlText w:val="%1."/>
      <w:lvlJc w:val="left"/>
      <w:pPr>
        <w:tabs>
          <w:tab w:val="num" w:pos="720"/>
        </w:tabs>
        <w:ind w:left="720" w:hanging="360"/>
      </w:pPr>
    </w:lvl>
    <w:lvl w:ilvl="1" w:tplc="C8807384">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A8D6977"/>
    <w:multiLevelType w:val="hybridMultilevel"/>
    <w:tmpl w:val="51BEE9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F0C4598"/>
    <w:multiLevelType w:val="hybridMultilevel"/>
    <w:tmpl w:val="C91E0ACE"/>
    <w:lvl w:ilvl="0" w:tplc="087A810E">
      <w:numFmt w:val="bullet"/>
      <w:lvlText w:val=""/>
      <w:legacy w:legacy="1" w:legacySpace="0" w:legacyIndent="360"/>
      <w:lvlJc w:val="left"/>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E327F2"/>
    <w:multiLevelType w:val="hybridMultilevel"/>
    <w:tmpl w:val="2D1E5A04"/>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237E576D"/>
    <w:multiLevelType w:val="hybridMultilevel"/>
    <w:tmpl w:val="70B89FAE"/>
    <w:lvl w:ilvl="0" w:tplc="C8807384">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nsid w:val="25B84B8F"/>
    <w:multiLevelType w:val="hybridMultilevel"/>
    <w:tmpl w:val="FCCCDB38"/>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25E04342"/>
    <w:multiLevelType w:val="hybridMultilevel"/>
    <w:tmpl w:val="0B921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nsid w:val="2BDC5930"/>
    <w:multiLevelType w:val="hybridMultilevel"/>
    <w:tmpl w:val="9A7A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E44DDA"/>
    <w:multiLevelType w:val="hybridMultilevel"/>
    <w:tmpl w:val="D33E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B15EED"/>
    <w:multiLevelType w:val="hybridMultilevel"/>
    <w:tmpl w:val="F48A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2645FE"/>
    <w:multiLevelType w:val="hybridMultilevel"/>
    <w:tmpl w:val="BC60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03277F"/>
    <w:multiLevelType w:val="hybridMultilevel"/>
    <w:tmpl w:val="EB942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24460D"/>
    <w:multiLevelType w:val="hybridMultilevel"/>
    <w:tmpl w:val="6DAE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061CF0"/>
    <w:multiLevelType w:val="hybridMultilevel"/>
    <w:tmpl w:val="47EA4E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F7D6523"/>
    <w:multiLevelType w:val="hybridMultilevel"/>
    <w:tmpl w:val="5E84536A"/>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43414DBF"/>
    <w:multiLevelType w:val="hybridMultilevel"/>
    <w:tmpl w:val="C4FECF30"/>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46933AF8"/>
    <w:multiLevelType w:val="multilevel"/>
    <w:tmpl w:val="E99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ED54B8"/>
    <w:multiLevelType w:val="hybridMultilevel"/>
    <w:tmpl w:val="9B50D5A6"/>
    <w:lvl w:ilvl="0" w:tplc="C880738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5A32735"/>
    <w:multiLevelType w:val="hybridMultilevel"/>
    <w:tmpl w:val="21A88F50"/>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58C55112"/>
    <w:multiLevelType w:val="hybridMultilevel"/>
    <w:tmpl w:val="C80C03CA"/>
    <w:lvl w:ilvl="0" w:tplc="C880738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AA115FA"/>
    <w:multiLevelType w:val="hybridMultilevel"/>
    <w:tmpl w:val="3B3AA1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CC12CE8"/>
    <w:multiLevelType w:val="multilevel"/>
    <w:tmpl w:val="DBB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0">
    <w:nsid w:val="6666306F"/>
    <w:multiLevelType w:val="hybridMultilevel"/>
    <w:tmpl w:val="B978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F32936"/>
    <w:multiLevelType w:val="hybridMultilevel"/>
    <w:tmpl w:val="8CA2C9FA"/>
    <w:lvl w:ilvl="0" w:tplc="C880738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FE442ED"/>
    <w:multiLevelType w:val="hybridMultilevel"/>
    <w:tmpl w:val="9DB6F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3">
    <w:nsid w:val="7C4A056B"/>
    <w:multiLevelType w:val="hybridMultilevel"/>
    <w:tmpl w:val="1CBCB510"/>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0"/>
  </w:num>
  <w:num w:numId="3">
    <w:abstractNumId w:val="0"/>
  </w:num>
  <w:num w:numId="4">
    <w:abstractNumId w:val="0"/>
  </w:num>
  <w:num w:numId="5">
    <w:abstractNumId w:val="26"/>
  </w:num>
  <w:num w:numId="6">
    <w:abstractNumId w:val="24"/>
  </w:num>
  <w:num w:numId="7">
    <w:abstractNumId w:val="31"/>
  </w:num>
  <w:num w:numId="8">
    <w:abstractNumId w:val="7"/>
  </w:num>
  <w:num w:numId="9">
    <w:abstractNumId w:val="11"/>
  </w:num>
  <w:num w:numId="10">
    <w:abstractNumId w:val="10"/>
  </w:num>
  <w:num w:numId="11">
    <w:abstractNumId w:val="25"/>
  </w:num>
  <w:num w:numId="12">
    <w:abstractNumId w:val="2"/>
  </w:num>
  <w:num w:numId="13">
    <w:abstractNumId w:val="12"/>
  </w:num>
  <w:num w:numId="14">
    <w:abstractNumId w:val="21"/>
  </w:num>
  <w:num w:numId="15">
    <w:abstractNumId w:val="22"/>
  </w:num>
  <w:num w:numId="16">
    <w:abstractNumId w:val="33"/>
  </w:num>
  <w:num w:numId="17">
    <w:abstractNumId w:val="1"/>
  </w:num>
  <w:num w:numId="18">
    <w:abstractNumId w:val="23"/>
  </w:num>
  <w:num w:numId="19">
    <w:abstractNumId w:val="6"/>
  </w:num>
  <w:num w:numId="20">
    <w:abstractNumId w:val="28"/>
  </w:num>
  <w:num w:numId="21">
    <w:abstractNumId w:val="3"/>
  </w:num>
  <w:num w:numId="22">
    <w:abstractNumId w:val="9"/>
  </w:num>
  <w:num w:numId="23">
    <w:abstractNumId w:val="8"/>
  </w:num>
  <w:num w:numId="24">
    <w:abstractNumId w:val="19"/>
  </w:num>
  <w:num w:numId="25">
    <w:abstractNumId w:val="16"/>
  </w:num>
  <w:num w:numId="26">
    <w:abstractNumId w:val="20"/>
  </w:num>
  <w:num w:numId="27">
    <w:abstractNumId w:val="30"/>
  </w:num>
  <w:num w:numId="28">
    <w:abstractNumId w:val="15"/>
  </w:num>
  <w:num w:numId="29">
    <w:abstractNumId w:val="32"/>
  </w:num>
  <w:num w:numId="30">
    <w:abstractNumId w:val="13"/>
  </w:num>
  <w:num w:numId="31">
    <w:abstractNumId w:val="14"/>
  </w:num>
  <w:num w:numId="32">
    <w:abstractNumId w:val="17"/>
  </w:num>
  <w:num w:numId="33">
    <w:abstractNumId w:val="4"/>
  </w:num>
  <w:num w:numId="34">
    <w:abstractNumId w:val="27"/>
  </w:num>
  <w:num w:numId="35">
    <w:abstractNumId w:val="1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99"/>
    <w:rsid w:val="00001023"/>
    <w:rsid w:val="00001A69"/>
    <w:rsid w:val="00002627"/>
    <w:rsid w:val="000063FE"/>
    <w:rsid w:val="00022E10"/>
    <w:rsid w:val="0003319C"/>
    <w:rsid w:val="00033353"/>
    <w:rsid w:val="00033CB8"/>
    <w:rsid w:val="00042E36"/>
    <w:rsid w:val="00042F2F"/>
    <w:rsid w:val="00043A1E"/>
    <w:rsid w:val="00047AAF"/>
    <w:rsid w:val="00066D98"/>
    <w:rsid w:val="000707D1"/>
    <w:rsid w:val="00072947"/>
    <w:rsid w:val="00073CD8"/>
    <w:rsid w:val="00075B29"/>
    <w:rsid w:val="000828BE"/>
    <w:rsid w:val="00084700"/>
    <w:rsid w:val="000856DA"/>
    <w:rsid w:val="00091989"/>
    <w:rsid w:val="00093C98"/>
    <w:rsid w:val="000B0E6E"/>
    <w:rsid w:val="000B411E"/>
    <w:rsid w:val="000C0BCE"/>
    <w:rsid w:val="000C1936"/>
    <w:rsid w:val="000C2B02"/>
    <w:rsid w:val="000C3359"/>
    <w:rsid w:val="000C5AE8"/>
    <w:rsid w:val="000D238D"/>
    <w:rsid w:val="000D7B56"/>
    <w:rsid w:val="000E4BDC"/>
    <w:rsid w:val="000E59BE"/>
    <w:rsid w:val="000F2F40"/>
    <w:rsid w:val="000F382D"/>
    <w:rsid w:val="000F538A"/>
    <w:rsid w:val="000F62D0"/>
    <w:rsid w:val="00101AB3"/>
    <w:rsid w:val="0011457A"/>
    <w:rsid w:val="00116448"/>
    <w:rsid w:val="00123F37"/>
    <w:rsid w:val="00130532"/>
    <w:rsid w:val="00134C37"/>
    <w:rsid w:val="001533D0"/>
    <w:rsid w:val="00156FDC"/>
    <w:rsid w:val="00157346"/>
    <w:rsid w:val="00157D9D"/>
    <w:rsid w:val="00161A97"/>
    <w:rsid w:val="001653F8"/>
    <w:rsid w:val="00172EFF"/>
    <w:rsid w:val="00175E2C"/>
    <w:rsid w:val="0017643F"/>
    <w:rsid w:val="00177F1F"/>
    <w:rsid w:val="00184544"/>
    <w:rsid w:val="00192DC7"/>
    <w:rsid w:val="00194A0C"/>
    <w:rsid w:val="00197F72"/>
    <w:rsid w:val="001A6392"/>
    <w:rsid w:val="001B0D45"/>
    <w:rsid w:val="001B4B23"/>
    <w:rsid w:val="001B5D48"/>
    <w:rsid w:val="001C3576"/>
    <w:rsid w:val="001C5E03"/>
    <w:rsid w:val="001C6848"/>
    <w:rsid w:val="001D43DE"/>
    <w:rsid w:val="001D7F33"/>
    <w:rsid w:val="001F2352"/>
    <w:rsid w:val="002010E3"/>
    <w:rsid w:val="00201DCD"/>
    <w:rsid w:val="00217C01"/>
    <w:rsid w:val="00221EEB"/>
    <w:rsid w:val="002307F5"/>
    <w:rsid w:val="00233CE8"/>
    <w:rsid w:val="0023671D"/>
    <w:rsid w:val="00236B7D"/>
    <w:rsid w:val="002426BA"/>
    <w:rsid w:val="00242D1C"/>
    <w:rsid w:val="00244445"/>
    <w:rsid w:val="00245CC3"/>
    <w:rsid w:val="00245FE5"/>
    <w:rsid w:val="00256045"/>
    <w:rsid w:val="00257089"/>
    <w:rsid w:val="002579AC"/>
    <w:rsid w:val="00270E3F"/>
    <w:rsid w:val="002824EF"/>
    <w:rsid w:val="00295469"/>
    <w:rsid w:val="00296A5C"/>
    <w:rsid w:val="00297118"/>
    <w:rsid w:val="002A4D3B"/>
    <w:rsid w:val="002A5479"/>
    <w:rsid w:val="002A75EE"/>
    <w:rsid w:val="002C3CEB"/>
    <w:rsid w:val="002C578F"/>
    <w:rsid w:val="002D0147"/>
    <w:rsid w:val="002D0A1D"/>
    <w:rsid w:val="002D0E0D"/>
    <w:rsid w:val="002D205D"/>
    <w:rsid w:val="002D272F"/>
    <w:rsid w:val="002E462B"/>
    <w:rsid w:val="002E5D29"/>
    <w:rsid w:val="002F231A"/>
    <w:rsid w:val="002F2346"/>
    <w:rsid w:val="002F570D"/>
    <w:rsid w:val="002F64ED"/>
    <w:rsid w:val="00301BE5"/>
    <w:rsid w:val="0031016A"/>
    <w:rsid w:val="00313D07"/>
    <w:rsid w:val="00316210"/>
    <w:rsid w:val="003216A0"/>
    <w:rsid w:val="00325B7F"/>
    <w:rsid w:val="00336051"/>
    <w:rsid w:val="00336FDD"/>
    <w:rsid w:val="00341C3E"/>
    <w:rsid w:val="003458F4"/>
    <w:rsid w:val="00346D0E"/>
    <w:rsid w:val="003554DB"/>
    <w:rsid w:val="00356F05"/>
    <w:rsid w:val="003572AC"/>
    <w:rsid w:val="003607B1"/>
    <w:rsid w:val="00360CAF"/>
    <w:rsid w:val="00361824"/>
    <w:rsid w:val="00364622"/>
    <w:rsid w:val="00367448"/>
    <w:rsid w:val="00367EC5"/>
    <w:rsid w:val="00370E80"/>
    <w:rsid w:val="003712F8"/>
    <w:rsid w:val="003777AB"/>
    <w:rsid w:val="00377BB4"/>
    <w:rsid w:val="0038240D"/>
    <w:rsid w:val="00382509"/>
    <w:rsid w:val="003873F4"/>
    <w:rsid w:val="0039141B"/>
    <w:rsid w:val="003A363F"/>
    <w:rsid w:val="003B3988"/>
    <w:rsid w:val="003C4178"/>
    <w:rsid w:val="003D3099"/>
    <w:rsid w:val="003E26A9"/>
    <w:rsid w:val="003E2E9F"/>
    <w:rsid w:val="003E3343"/>
    <w:rsid w:val="003E427E"/>
    <w:rsid w:val="003E6811"/>
    <w:rsid w:val="003F2479"/>
    <w:rsid w:val="003F5C3B"/>
    <w:rsid w:val="00404152"/>
    <w:rsid w:val="00404BE6"/>
    <w:rsid w:val="00405761"/>
    <w:rsid w:val="00410E71"/>
    <w:rsid w:val="00413F61"/>
    <w:rsid w:val="00421320"/>
    <w:rsid w:val="004239F3"/>
    <w:rsid w:val="00425EB5"/>
    <w:rsid w:val="0042678F"/>
    <w:rsid w:val="00426B8B"/>
    <w:rsid w:val="00430F71"/>
    <w:rsid w:val="00431155"/>
    <w:rsid w:val="00432CB5"/>
    <w:rsid w:val="0043424C"/>
    <w:rsid w:val="0043520A"/>
    <w:rsid w:val="004461C0"/>
    <w:rsid w:val="00462065"/>
    <w:rsid w:val="00470334"/>
    <w:rsid w:val="0047152A"/>
    <w:rsid w:val="00476755"/>
    <w:rsid w:val="004772C9"/>
    <w:rsid w:val="004818A3"/>
    <w:rsid w:val="00481B42"/>
    <w:rsid w:val="00487B94"/>
    <w:rsid w:val="00490E6B"/>
    <w:rsid w:val="004921EC"/>
    <w:rsid w:val="004929EB"/>
    <w:rsid w:val="004930E2"/>
    <w:rsid w:val="004933D5"/>
    <w:rsid w:val="00493AF7"/>
    <w:rsid w:val="004A559A"/>
    <w:rsid w:val="004B4FAC"/>
    <w:rsid w:val="004C0D5B"/>
    <w:rsid w:val="004C3A2C"/>
    <w:rsid w:val="004C46EF"/>
    <w:rsid w:val="004C7110"/>
    <w:rsid w:val="004C7C7D"/>
    <w:rsid w:val="004D0975"/>
    <w:rsid w:val="004D5148"/>
    <w:rsid w:val="004E063B"/>
    <w:rsid w:val="004E0822"/>
    <w:rsid w:val="004E2476"/>
    <w:rsid w:val="004E583E"/>
    <w:rsid w:val="004F0A3E"/>
    <w:rsid w:val="004F1A16"/>
    <w:rsid w:val="004F209F"/>
    <w:rsid w:val="004F27DF"/>
    <w:rsid w:val="004F4678"/>
    <w:rsid w:val="004F5E16"/>
    <w:rsid w:val="004F7C96"/>
    <w:rsid w:val="0050092A"/>
    <w:rsid w:val="00506C68"/>
    <w:rsid w:val="005122DB"/>
    <w:rsid w:val="00521A5B"/>
    <w:rsid w:val="00521B7D"/>
    <w:rsid w:val="005254D4"/>
    <w:rsid w:val="005319E5"/>
    <w:rsid w:val="00531E2A"/>
    <w:rsid w:val="0053656E"/>
    <w:rsid w:val="005404C2"/>
    <w:rsid w:val="00540642"/>
    <w:rsid w:val="00541C54"/>
    <w:rsid w:val="005450AA"/>
    <w:rsid w:val="0055295D"/>
    <w:rsid w:val="00554753"/>
    <w:rsid w:val="005636CC"/>
    <w:rsid w:val="00564FCD"/>
    <w:rsid w:val="00572902"/>
    <w:rsid w:val="00577A46"/>
    <w:rsid w:val="005860FC"/>
    <w:rsid w:val="00586FD3"/>
    <w:rsid w:val="00592FD7"/>
    <w:rsid w:val="00597FAD"/>
    <w:rsid w:val="005A1A24"/>
    <w:rsid w:val="005A5A17"/>
    <w:rsid w:val="005B7DB8"/>
    <w:rsid w:val="005E2C96"/>
    <w:rsid w:val="005E60C4"/>
    <w:rsid w:val="005F62C0"/>
    <w:rsid w:val="00600619"/>
    <w:rsid w:val="0060224F"/>
    <w:rsid w:val="0060591E"/>
    <w:rsid w:val="00610658"/>
    <w:rsid w:val="00610895"/>
    <w:rsid w:val="00614252"/>
    <w:rsid w:val="00617519"/>
    <w:rsid w:val="00625A3C"/>
    <w:rsid w:val="00625F9A"/>
    <w:rsid w:val="00627B5B"/>
    <w:rsid w:val="006316B9"/>
    <w:rsid w:val="00632DA4"/>
    <w:rsid w:val="00633EC1"/>
    <w:rsid w:val="006409EA"/>
    <w:rsid w:val="0064171E"/>
    <w:rsid w:val="006568BF"/>
    <w:rsid w:val="00661903"/>
    <w:rsid w:val="0066721D"/>
    <w:rsid w:val="006731D2"/>
    <w:rsid w:val="0067486A"/>
    <w:rsid w:val="006769FC"/>
    <w:rsid w:val="00677D92"/>
    <w:rsid w:val="00683DD2"/>
    <w:rsid w:val="006A4E8D"/>
    <w:rsid w:val="006A5B39"/>
    <w:rsid w:val="006A6AD1"/>
    <w:rsid w:val="006E7048"/>
    <w:rsid w:val="006F620D"/>
    <w:rsid w:val="00701316"/>
    <w:rsid w:val="00710AF2"/>
    <w:rsid w:val="00711470"/>
    <w:rsid w:val="0071161C"/>
    <w:rsid w:val="007144F9"/>
    <w:rsid w:val="007166DF"/>
    <w:rsid w:val="007251CA"/>
    <w:rsid w:val="007279BB"/>
    <w:rsid w:val="00732E8B"/>
    <w:rsid w:val="0073400F"/>
    <w:rsid w:val="00734175"/>
    <w:rsid w:val="0073692A"/>
    <w:rsid w:val="00744A9D"/>
    <w:rsid w:val="00745009"/>
    <w:rsid w:val="00752B8B"/>
    <w:rsid w:val="00754146"/>
    <w:rsid w:val="00756957"/>
    <w:rsid w:val="007610C3"/>
    <w:rsid w:val="00765D3F"/>
    <w:rsid w:val="00776301"/>
    <w:rsid w:val="007800B5"/>
    <w:rsid w:val="007814B4"/>
    <w:rsid w:val="00783585"/>
    <w:rsid w:val="00783C96"/>
    <w:rsid w:val="00792509"/>
    <w:rsid w:val="00793CD5"/>
    <w:rsid w:val="007A3005"/>
    <w:rsid w:val="007A5A1F"/>
    <w:rsid w:val="007A7EB7"/>
    <w:rsid w:val="007B2AB0"/>
    <w:rsid w:val="007B3794"/>
    <w:rsid w:val="007C1895"/>
    <w:rsid w:val="007C73F2"/>
    <w:rsid w:val="007D2A7F"/>
    <w:rsid w:val="007D39C5"/>
    <w:rsid w:val="007D3BED"/>
    <w:rsid w:val="007D576C"/>
    <w:rsid w:val="007E104A"/>
    <w:rsid w:val="007F262D"/>
    <w:rsid w:val="007F41B7"/>
    <w:rsid w:val="007F45B0"/>
    <w:rsid w:val="007F7A12"/>
    <w:rsid w:val="0080007D"/>
    <w:rsid w:val="0080352C"/>
    <w:rsid w:val="0080612D"/>
    <w:rsid w:val="00812EA3"/>
    <w:rsid w:val="008130CA"/>
    <w:rsid w:val="008164FF"/>
    <w:rsid w:val="00821548"/>
    <w:rsid w:val="00821DAB"/>
    <w:rsid w:val="00825C28"/>
    <w:rsid w:val="00827F2F"/>
    <w:rsid w:val="00832A2A"/>
    <w:rsid w:val="00844F62"/>
    <w:rsid w:val="00850FF8"/>
    <w:rsid w:val="00854708"/>
    <w:rsid w:val="00857F45"/>
    <w:rsid w:val="008605B3"/>
    <w:rsid w:val="0086430B"/>
    <w:rsid w:val="00864778"/>
    <w:rsid w:val="0086486F"/>
    <w:rsid w:val="008739CA"/>
    <w:rsid w:val="00874419"/>
    <w:rsid w:val="0088461D"/>
    <w:rsid w:val="008916DD"/>
    <w:rsid w:val="008A3C5E"/>
    <w:rsid w:val="008A4661"/>
    <w:rsid w:val="008B0BD9"/>
    <w:rsid w:val="008C479D"/>
    <w:rsid w:val="008C4FCF"/>
    <w:rsid w:val="008C76C6"/>
    <w:rsid w:val="008D1056"/>
    <w:rsid w:val="008D3BD6"/>
    <w:rsid w:val="008E06C7"/>
    <w:rsid w:val="008E15D0"/>
    <w:rsid w:val="008E1F01"/>
    <w:rsid w:val="008E42F1"/>
    <w:rsid w:val="008E4BA3"/>
    <w:rsid w:val="008F0EFA"/>
    <w:rsid w:val="008F35F3"/>
    <w:rsid w:val="008F6C88"/>
    <w:rsid w:val="009012DB"/>
    <w:rsid w:val="009045AB"/>
    <w:rsid w:val="009100C7"/>
    <w:rsid w:val="0091130F"/>
    <w:rsid w:val="009218FB"/>
    <w:rsid w:val="00922014"/>
    <w:rsid w:val="009226B8"/>
    <w:rsid w:val="00923C35"/>
    <w:rsid w:val="009253EC"/>
    <w:rsid w:val="00940A6F"/>
    <w:rsid w:val="0094593A"/>
    <w:rsid w:val="00945E39"/>
    <w:rsid w:val="00951333"/>
    <w:rsid w:val="00952710"/>
    <w:rsid w:val="00953938"/>
    <w:rsid w:val="00962943"/>
    <w:rsid w:val="0096546A"/>
    <w:rsid w:val="009673C4"/>
    <w:rsid w:val="00973461"/>
    <w:rsid w:val="00977F45"/>
    <w:rsid w:val="009819E9"/>
    <w:rsid w:val="0098379B"/>
    <w:rsid w:val="00983B5E"/>
    <w:rsid w:val="00984151"/>
    <w:rsid w:val="0098463D"/>
    <w:rsid w:val="0098701A"/>
    <w:rsid w:val="009923BB"/>
    <w:rsid w:val="009A0A01"/>
    <w:rsid w:val="009A1544"/>
    <w:rsid w:val="009C6A90"/>
    <w:rsid w:val="009D17AD"/>
    <w:rsid w:val="009D1A31"/>
    <w:rsid w:val="009D2060"/>
    <w:rsid w:val="009D47A8"/>
    <w:rsid w:val="009D563D"/>
    <w:rsid w:val="009D5B6B"/>
    <w:rsid w:val="009E0B32"/>
    <w:rsid w:val="009E0ECD"/>
    <w:rsid w:val="009E246B"/>
    <w:rsid w:val="009F0E48"/>
    <w:rsid w:val="009F627B"/>
    <w:rsid w:val="009F71B8"/>
    <w:rsid w:val="00A02E97"/>
    <w:rsid w:val="00A046DA"/>
    <w:rsid w:val="00A10ADE"/>
    <w:rsid w:val="00A164B7"/>
    <w:rsid w:val="00A22427"/>
    <w:rsid w:val="00A2428D"/>
    <w:rsid w:val="00A30B2D"/>
    <w:rsid w:val="00A3372E"/>
    <w:rsid w:val="00A34AE6"/>
    <w:rsid w:val="00A3592F"/>
    <w:rsid w:val="00A37FF3"/>
    <w:rsid w:val="00A4076E"/>
    <w:rsid w:val="00A445FF"/>
    <w:rsid w:val="00A56504"/>
    <w:rsid w:val="00A56EBA"/>
    <w:rsid w:val="00A616A4"/>
    <w:rsid w:val="00A627DD"/>
    <w:rsid w:val="00A62FE6"/>
    <w:rsid w:val="00A63141"/>
    <w:rsid w:val="00A75F9C"/>
    <w:rsid w:val="00A80CC7"/>
    <w:rsid w:val="00A851AC"/>
    <w:rsid w:val="00A86BA6"/>
    <w:rsid w:val="00A90A53"/>
    <w:rsid w:val="00A91D5B"/>
    <w:rsid w:val="00A97656"/>
    <w:rsid w:val="00AA13C7"/>
    <w:rsid w:val="00AB54FF"/>
    <w:rsid w:val="00AB5B33"/>
    <w:rsid w:val="00AC0084"/>
    <w:rsid w:val="00AC3FCE"/>
    <w:rsid w:val="00AD1EE5"/>
    <w:rsid w:val="00AD6C5A"/>
    <w:rsid w:val="00AE01CB"/>
    <w:rsid w:val="00AE6956"/>
    <w:rsid w:val="00AF204C"/>
    <w:rsid w:val="00AF232B"/>
    <w:rsid w:val="00AF72CD"/>
    <w:rsid w:val="00B06581"/>
    <w:rsid w:val="00B167F2"/>
    <w:rsid w:val="00B217EA"/>
    <w:rsid w:val="00B3089D"/>
    <w:rsid w:val="00B323F4"/>
    <w:rsid w:val="00B354D4"/>
    <w:rsid w:val="00B40F93"/>
    <w:rsid w:val="00B47654"/>
    <w:rsid w:val="00B51969"/>
    <w:rsid w:val="00B548B8"/>
    <w:rsid w:val="00B708A9"/>
    <w:rsid w:val="00B7354D"/>
    <w:rsid w:val="00B8131F"/>
    <w:rsid w:val="00B8333A"/>
    <w:rsid w:val="00B87A19"/>
    <w:rsid w:val="00B91BC7"/>
    <w:rsid w:val="00B94E86"/>
    <w:rsid w:val="00B95082"/>
    <w:rsid w:val="00BA47B6"/>
    <w:rsid w:val="00BA5DBE"/>
    <w:rsid w:val="00BA7899"/>
    <w:rsid w:val="00BB41B6"/>
    <w:rsid w:val="00BB61FF"/>
    <w:rsid w:val="00BC30A1"/>
    <w:rsid w:val="00BD02E1"/>
    <w:rsid w:val="00BD3002"/>
    <w:rsid w:val="00BD5ED9"/>
    <w:rsid w:val="00BD7146"/>
    <w:rsid w:val="00BE0A90"/>
    <w:rsid w:val="00BE6190"/>
    <w:rsid w:val="00BE6C02"/>
    <w:rsid w:val="00BF0CAF"/>
    <w:rsid w:val="00BF1461"/>
    <w:rsid w:val="00BF502B"/>
    <w:rsid w:val="00C03583"/>
    <w:rsid w:val="00C03798"/>
    <w:rsid w:val="00C052B5"/>
    <w:rsid w:val="00C0666B"/>
    <w:rsid w:val="00C20B8F"/>
    <w:rsid w:val="00C25C16"/>
    <w:rsid w:val="00C3042B"/>
    <w:rsid w:val="00C31016"/>
    <w:rsid w:val="00C40D53"/>
    <w:rsid w:val="00C440E8"/>
    <w:rsid w:val="00C5454F"/>
    <w:rsid w:val="00C55ABF"/>
    <w:rsid w:val="00C60B1D"/>
    <w:rsid w:val="00C60B23"/>
    <w:rsid w:val="00C81F29"/>
    <w:rsid w:val="00C86FBA"/>
    <w:rsid w:val="00C9038A"/>
    <w:rsid w:val="00C96106"/>
    <w:rsid w:val="00CA0EB8"/>
    <w:rsid w:val="00CA1C50"/>
    <w:rsid w:val="00CB260B"/>
    <w:rsid w:val="00CB7DA0"/>
    <w:rsid w:val="00CC6B8A"/>
    <w:rsid w:val="00CC756F"/>
    <w:rsid w:val="00CD46B5"/>
    <w:rsid w:val="00CD5225"/>
    <w:rsid w:val="00CD6A8D"/>
    <w:rsid w:val="00CD72F5"/>
    <w:rsid w:val="00CD73F1"/>
    <w:rsid w:val="00CF1F0A"/>
    <w:rsid w:val="00CF7057"/>
    <w:rsid w:val="00D02B7A"/>
    <w:rsid w:val="00D057D4"/>
    <w:rsid w:val="00D10B7E"/>
    <w:rsid w:val="00D14586"/>
    <w:rsid w:val="00D14CD4"/>
    <w:rsid w:val="00D156C9"/>
    <w:rsid w:val="00D159F0"/>
    <w:rsid w:val="00D17666"/>
    <w:rsid w:val="00D24C28"/>
    <w:rsid w:val="00D2564B"/>
    <w:rsid w:val="00D25955"/>
    <w:rsid w:val="00D36A8C"/>
    <w:rsid w:val="00D5042D"/>
    <w:rsid w:val="00D51B0B"/>
    <w:rsid w:val="00D536A0"/>
    <w:rsid w:val="00D53EBB"/>
    <w:rsid w:val="00D64770"/>
    <w:rsid w:val="00D7426B"/>
    <w:rsid w:val="00D76763"/>
    <w:rsid w:val="00D820C2"/>
    <w:rsid w:val="00D9452C"/>
    <w:rsid w:val="00DA053E"/>
    <w:rsid w:val="00DA3614"/>
    <w:rsid w:val="00DA694F"/>
    <w:rsid w:val="00DA6DD3"/>
    <w:rsid w:val="00DA7E48"/>
    <w:rsid w:val="00DB0835"/>
    <w:rsid w:val="00DB12DD"/>
    <w:rsid w:val="00DB4542"/>
    <w:rsid w:val="00DB4812"/>
    <w:rsid w:val="00DB5A0E"/>
    <w:rsid w:val="00DB7486"/>
    <w:rsid w:val="00DD15E3"/>
    <w:rsid w:val="00DD1E3E"/>
    <w:rsid w:val="00DD3582"/>
    <w:rsid w:val="00DD3B38"/>
    <w:rsid w:val="00DE6DBC"/>
    <w:rsid w:val="00E025FF"/>
    <w:rsid w:val="00E03310"/>
    <w:rsid w:val="00E07176"/>
    <w:rsid w:val="00E1039A"/>
    <w:rsid w:val="00E15066"/>
    <w:rsid w:val="00E1674E"/>
    <w:rsid w:val="00E16B97"/>
    <w:rsid w:val="00E22363"/>
    <w:rsid w:val="00E26FF8"/>
    <w:rsid w:val="00E314E5"/>
    <w:rsid w:val="00E320D2"/>
    <w:rsid w:val="00E35328"/>
    <w:rsid w:val="00E3599D"/>
    <w:rsid w:val="00E36759"/>
    <w:rsid w:val="00E41CF5"/>
    <w:rsid w:val="00E435AB"/>
    <w:rsid w:val="00E44AB4"/>
    <w:rsid w:val="00E5795C"/>
    <w:rsid w:val="00E71997"/>
    <w:rsid w:val="00E72229"/>
    <w:rsid w:val="00E72379"/>
    <w:rsid w:val="00E73F01"/>
    <w:rsid w:val="00E76A84"/>
    <w:rsid w:val="00E85B6F"/>
    <w:rsid w:val="00E92DC9"/>
    <w:rsid w:val="00E9720E"/>
    <w:rsid w:val="00EA418F"/>
    <w:rsid w:val="00EA5676"/>
    <w:rsid w:val="00EB06DA"/>
    <w:rsid w:val="00EB2F3B"/>
    <w:rsid w:val="00EB5175"/>
    <w:rsid w:val="00EC10C5"/>
    <w:rsid w:val="00EC2552"/>
    <w:rsid w:val="00EC3AD6"/>
    <w:rsid w:val="00EC7DB3"/>
    <w:rsid w:val="00ED12E3"/>
    <w:rsid w:val="00ED5746"/>
    <w:rsid w:val="00EE78DB"/>
    <w:rsid w:val="00EF389F"/>
    <w:rsid w:val="00EF5A6C"/>
    <w:rsid w:val="00F04C0B"/>
    <w:rsid w:val="00F0725A"/>
    <w:rsid w:val="00F07FA7"/>
    <w:rsid w:val="00F120A9"/>
    <w:rsid w:val="00F15C02"/>
    <w:rsid w:val="00F234F8"/>
    <w:rsid w:val="00F26FE0"/>
    <w:rsid w:val="00F354B7"/>
    <w:rsid w:val="00F40275"/>
    <w:rsid w:val="00F42130"/>
    <w:rsid w:val="00F421E4"/>
    <w:rsid w:val="00F451CD"/>
    <w:rsid w:val="00F46D11"/>
    <w:rsid w:val="00F57859"/>
    <w:rsid w:val="00F6190D"/>
    <w:rsid w:val="00F64373"/>
    <w:rsid w:val="00F739D4"/>
    <w:rsid w:val="00F83195"/>
    <w:rsid w:val="00F97544"/>
    <w:rsid w:val="00FB6C0B"/>
    <w:rsid w:val="00FC6FB4"/>
    <w:rsid w:val="00FD1387"/>
    <w:rsid w:val="00FD1DE4"/>
    <w:rsid w:val="00FD6416"/>
    <w:rsid w:val="00FD6E96"/>
    <w:rsid w:val="00FD6EF3"/>
    <w:rsid w:val="00FE5B30"/>
    <w:rsid w:val="00FE7C82"/>
    <w:rsid w:val="00FF0D6C"/>
    <w:rsid w:val="00FF0EE2"/>
    <w:rsid w:val="00FF30F7"/>
    <w:rsid w:val="00FF7F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A69"/>
    <w:rPr>
      <w:rFonts w:ascii="Arial" w:hAnsi="Arial"/>
      <w:sz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paragraph" w:styleId="Heading6">
    <w:name w:val="heading 6"/>
    <w:basedOn w:val="Normal"/>
    <w:next w:val="Normal"/>
    <w:qFormat/>
    <w:rsid w:val="00001A69"/>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table" w:styleId="TableGrid">
    <w:name w:val="Table Grid"/>
    <w:basedOn w:val="TableNormal"/>
    <w:rsid w:val="0096546A"/>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D1E3E"/>
    <w:rPr>
      <w:sz w:val="16"/>
      <w:szCs w:val="16"/>
    </w:rPr>
  </w:style>
  <w:style w:type="paragraph" w:styleId="CommentText">
    <w:name w:val="annotation text"/>
    <w:basedOn w:val="Normal"/>
    <w:semiHidden/>
    <w:rsid w:val="00DD1E3E"/>
    <w:rPr>
      <w:sz w:val="20"/>
    </w:rPr>
  </w:style>
  <w:style w:type="paragraph" w:styleId="CommentSubject">
    <w:name w:val="annotation subject"/>
    <w:basedOn w:val="CommentText"/>
    <w:next w:val="CommentText"/>
    <w:semiHidden/>
    <w:rsid w:val="00DD1E3E"/>
    <w:rPr>
      <w:b/>
      <w:bCs/>
    </w:rPr>
  </w:style>
  <w:style w:type="paragraph" w:styleId="BalloonText">
    <w:name w:val="Balloon Text"/>
    <w:basedOn w:val="Normal"/>
    <w:semiHidden/>
    <w:rsid w:val="00DD1E3E"/>
    <w:rPr>
      <w:rFonts w:ascii="Tahoma" w:hAnsi="Tahoma" w:cs="Tahoma"/>
      <w:sz w:val="16"/>
      <w:szCs w:val="16"/>
    </w:rPr>
  </w:style>
  <w:style w:type="character" w:styleId="Strong">
    <w:name w:val="Strong"/>
    <w:qFormat/>
    <w:rsid w:val="00D53EBB"/>
    <w:rPr>
      <w:b/>
      <w:bCs/>
    </w:rPr>
  </w:style>
  <w:style w:type="character" w:styleId="Hyperlink">
    <w:name w:val="Hyperlink"/>
    <w:rsid w:val="00D53EBB"/>
    <w:rPr>
      <w:color w:val="0000FF"/>
      <w:u w:val="single"/>
    </w:rPr>
  </w:style>
  <w:style w:type="paragraph" w:styleId="NormalWeb">
    <w:name w:val="Normal (Web)"/>
    <w:basedOn w:val="Normal"/>
    <w:rsid w:val="00493AF7"/>
    <w:rPr>
      <w:szCs w:val="24"/>
    </w:rPr>
  </w:style>
  <w:style w:type="character" w:styleId="FollowedHyperlink">
    <w:name w:val="FollowedHyperlink"/>
    <w:rsid w:val="001C6848"/>
    <w:rPr>
      <w:color w:val="606420"/>
      <w:u w:val="single"/>
    </w:rPr>
  </w:style>
  <w:style w:type="paragraph" w:customStyle="1" w:styleId="Default">
    <w:name w:val="Default"/>
    <w:rsid w:val="00C5454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1F2352"/>
    <w:rPr>
      <w:rFonts w:ascii="Arial" w:hAnsi="Arial"/>
      <w:sz w:val="22"/>
      <w:lang w:eastAsia="en-US"/>
    </w:rPr>
  </w:style>
  <w:style w:type="paragraph" w:styleId="FootnoteText">
    <w:name w:val="footnote text"/>
    <w:basedOn w:val="Normal"/>
    <w:link w:val="FootnoteTextChar"/>
    <w:uiPriority w:val="99"/>
    <w:rsid w:val="00093C98"/>
    <w:rPr>
      <w:sz w:val="20"/>
    </w:rPr>
  </w:style>
  <w:style w:type="character" w:customStyle="1" w:styleId="FootnoteTextChar">
    <w:name w:val="Footnote Text Char"/>
    <w:link w:val="FootnoteText"/>
    <w:uiPriority w:val="99"/>
    <w:rsid w:val="00093C98"/>
    <w:rPr>
      <w:rFonts w:ascii="Arial" w:hAnsi="Arial"/>
      <w:lang w:eastAsia="en-US"/>
    </w:rPr>
  </w:style>
  <w:style w:type="character" w:styleId="FootnoteReference">
    <w:name w:val="footnote reference"/>
    <w:rsid w:val="00093C98"/>
    <w:rPr>
      <w:vertAlign w:val="superscript"/>
    </w:rPr>
  </w:style>
  <w:style w:type="paragraph" w:styleId="ListParagraph">
    <w:name w:val="List Paragraph"/>
    <w:basedOn w:val="Normal"/>
    <w:uiPriority w:val="34"/>
    <w:qFormat/>
    <w:rsid w:val="00BE6190"/>
    <w:pPr>
      <w:tabs>
        <w:tab w:val="left" w:pos="720"/>
        <w:tab w:val="left" w:pos="1440"/>
        <w:tab w:val="left" w:pos="2160"/>
        <w:tab w:val="left" w:pos="2880"/>
        <w:tab w:val="left" w:pos="4680"/>
        <w:tab w:val="left" w:pos="5400"/>
        <w:tab w:val="right" w:pos="9000"/>
      </w:tabs>
      <w:spacing w:line="240" w:lineRule="atLeast"/>
      <w:ind w:left="720"/>
      <w:contextualSpacing/>
      <w:jc w:val="both"/>
    </w:pPr>
    <w:rPr>
      <w:sz w:val="24"/>
    </w:rPr>
  </w:style>
  <w:style w:type="paragraph" w:styleId="Revision">
    <w:name w:val="Revision"/>
    <w:hidden/>
    <w:uiPriority w:val="99"/>
    <w:semiHidden/>
    <w:rsid w:val="00C60B1D"/>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A69"/>
    <w:rPr>
      <w:rFonts w:ascii="Arial" w:hAnsi="Arial"/>
      <w:sz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paragraph" w:styleId="Heading6">
    <w:name w:val="heading 6"/>
    <w:basedOn w:val="Normal"/>
    <w:next w:val="Normal"/>
    <w:qFormat/>
    <w:rsid w:val="00001A69"/>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table" w:styleId="TableGrid">
    <w:name w:val="Table Grid"/>
    <w:basedOn w:val="TableNormal"/>
    <w:rsid w:val="0096546A"/>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D1E3E"/>
    <w:rPr>
      <w:sz w:val="16"/>
      <w:szCs w:val="16"/>
    </w:rPr>
  </w:style>
  <w:style w:type="paragraph" w:styleId="CommentText">
    <w:name w:val="annotation text"/>
    <w:basedOn w:val="Normal"/>
    <w:semiHidden/>
    <w:rsid w:val="00DD1E3E"/>
    <w:rPr>
      <w:sz w:val="20"/>
    </w:rPr>
  </w:style>
  <w:style w:type="paragraph" w:styleId="CommentSubject">
    <w:name w:val="annotation subject"/>
    <w:basedOn w:val="CommentText"/>
    <w:next w:val="CommentText"/>
    <w:semiHidden/>
    <w:rsid w:val="00DD1E3E"/>
    <w:rPr>
      <w:b/>
      <w:bCs/>
    </w:rPr>
  </w:style>
  <w:style w:type="paragraph" w:styleId="BalloonText">
    <w:name w:val="Balloon Text"/>
    <w:basedOn w:val="Normal"/>
    <w:semiHidden/>
    <w:rsid w:val="00DD1E3E"/>
    <w:rPr>
      <w:rFonts w:ascii="Tahoma" w:hAnsi="Tahoma" w:cs="Tahoma"/>
      <w:sz w:val="16"/>
      <w:szCs w:val="16"/>
    </w:rPr>
  </w:style>
  <w:style w:type="character" w:styleId="Strong">
    <w:name w:val="Strong"/>
    <w:qFormat/>
    <w:rsid w:val="00D53EBB"/>
    <w:rPr>
      <w:b/>
      <w:bCs/>
    </w:rPr>
  </w:style>
  <w:style w:type="character" w:styleId="Hyperlink">
    <w:name w:val="Hyperlink"/>
    <w:rsid w:val="00D53EBB"/>
    <w:rPr>
      <w:color w:val="0000FF"/>
      <w:u w:val="single"/>
    </w:rPr>
  </w:style>
  <w:style w:type="paragraph" w:styleId="NormalWeb">
    <w:name w:val="Normal (Web)"/>
    <w:basedOn w:val="Normal"/>
    <w:rsid w:val="00493AF7"/>
    <w:rPr>
      <w:szCs w:val="24"/>
    </w:rPr>
  </w:style>
  <w:style w:type="character" w:styleId="FollowedHyperlink">
    <w:name w:val="FollowedHyperlink"/>
    <w:rsid w:val="001C6848"/>
    <w:rPr>
      <w:color w:val="606420"/>
      <w:u w:val="single"/>
    </w:rPr>
  </w:style>
  <w:style w:type="paragraph" w:customStyle="1" w:styleId="Default">
    <w:name w:val="Default"/>
    <w:rsid w:val="00C5454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1F2352"/>
    <w:rPr>
      <w:rFonts w:ascii="Arial" w:hAnsi="Arial"/>
      <w:sz w:val="22"/>
      <w:lang w:eastAsia="en-US"/>
    </w:rPr>
  </w:style>
  <w:style w:type="paragraph" w:styleId="FootnoteText">
    <w:name w:val="footnote text"/>
    <w:basedOn w:val="Normal"/>
    <w:link w:val="FootnoteTextChar"/>
    <w:uiPriority w:val="99"/>
    <w:rsid w:val="00093C98"/>
    <w:rPr>
      <w:sz w:val="20"/>
    </w:rPr>
  </w:style>
  <w:style w:type="character" w:customStyle="1" w:styleId="FootnoteTextChar">
    <w:name w:val="Footnote Text Char"/>
    <w:link w:val="FootnoteText"/>
    <w:uiPriority w:val="99"/>
    <w:rsid w:val="00093C98"/>
    <w:rPr>
      <w:rFonts w:ascii="Arial" w:hAnsi="Arial"/>
      <w:lang w:eastAsia="en-US"/>
    </w:rPr>
  </w:style>
  <w:style w:type="character" w:styleId="FootnoteReference">
    <w:name w:val="footnote reference"/>
    <w:rsid w:val="00093C98"/>
    <w:rPr>
      <w:vertAlign w:val="superscript"/>
    </w:rPr>
  </w:style>
  <w:style w:type="paragraph" w:styleId="ListParagraph">
    <w:name w:val="List Paragraph"/>
    <w:basedOn w:val="Normal"/>
    <w:uiPriority w:val="34"/>
    <w:qFormat/>
    <w:rsid w:val="00BE6190"/>
    <w:pPr>
      <w:tabs>
        <w:tab w:val="left" w:pos="720"/>
        <w:tab w:val="left" w:pos="1440"/>
        <w:tab w:val="left" w:pos="2160"/>
        <w:tab w:val="left" w:pos="2880"/>
        <w:tab w:val="left" w:pos="4680"/>
        <w:tab w:val="left" w:pos="5400"/>
        <w:tab w:val="right" w:pos="9000"/>
      </w:tabs>
      <w:spacing w:line="240" w:lineRule="atLeast"/>
      <w:ind w:left="720"/>
      <w:contextualSpacing/>
      <w:jc w:val="both"/>
    </w:pPr>
    <w:rPr>
      <w:sz w:val="24"/>
    </w:rPr>
  </w:style>
  <w:style w:type="paragraph" w:styleId="Revision">
    <w:name w:val="Revision"/>
    <w:hidden/>
    <w:uiPriority w:val="99"/>
    <w:semiHidden/>
    <w:rsid w:val="00C60B1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1250">
      <w:bodyDiv w:val="1"/>
      <w:marLeft w:val="0"/>
      <w:marRight w:val="0"/>
      <w:marTop w:val="0"/>
      <w:marBottom w:val="0"/>
      <w:divBdr>
        <w:top w:val="none" w:sz="0" w:space="0" w:color="auto"/>
        <w:left w:val="none" w:sz="0" w:space="0" w:color="auto"/>
        <w:bottom w:val="none" w:sz="0" w:space="0" w:color="auto"/>
        <w:right w:val="none" w:sz="0" w:space="0" w:color="auto"/>
      </w:divBdr>
    </w:div>
    <w:div w:id="232785533">
      <w:bodyDiv w:val="1"/>
      <w:marLeft w:val="0"/>
      <w:marRight w:val="0"/>
      <w:marTop w:val="0"/>
      <w:marBottom w:val="0"/>
      <w:divBdr>
        <w:top w:val="none" w:sz="0" w:space="0" w:color="auto"/>
        <w:left w:val="none" w:sz="0" w:space="0" w:color="auto"/>
        <w:bottom w:val="none" w:sz="0" w:space="0" w:color="auto"/>
        <w:right w:val="none" w:sz="0" w:space="0" w:color="auto"/>
      </w:divBdr>
      <w:divsChild>
        <w:div w:id="65687491">
          <w:marLeft w:val="0"/>
          <w:marRight w:val="0"/>
          <w:marTop w:val="0"/>
          <w:marBottom w:val="0"/>
          <w:divBdr>
            <w:top w:val="none" w:sz="0" w:space="0" w:color="auto"/>
            <w:left w:val="none" w:sz="0" w:space="0" w:color="auto"/>
            <w:bottom w:val="none" w:sz="0" w:space="0" w:color="auto"/>
            <w:right w:val="none" w:sz="0" w:space="0" w:color="auto"/>
          </w:divBdr>
          <w:divsChild>
            <w:div w:id="394864029">
              <w:marLeft w:val="0"/>
              <w:marRight w:val="0"/>
              <w:marTop w:val="0"/>
              <w:marBottom w:val="0"/>
              <w:divBdr>
                <w:top w:val="none" w:sz="0" w:space="0" w:color="auto"/>
                <w:left w:val="none" w:sz="0" w:space="0" w:color="auto"/>
                <w:bottom w:val="none" w:sz="0" w:space="0" w:color="auto"/>
                <w:right w:val="none" w:sz="0" w:space="0" w:color="auto"/>
              </w:divBdr>
              <w:divsChild>
                <w:div w:id="72317244">
                  <w:marLeft w:val="0"/>
                  <w:marRight w:val="0"/>
                  <w:marTop w:val="0"/>
                  <w:marBottom w:val="0"/>
                  <w:divBdr>
                    <w:top w:val="none" w:sz="0" w:space="0" w:color="auto"/>
                    <w:left w:val="none" w:sz="0" w:space="0" w:color="auto"/>
                    <w:bottom w:val="none" w:sz="0" w:space="0" w:color="auto"/>
                    <w:right w:val="none" w:sz="0" w:space="0" w:color="auto"/>
                  </w:divBdr>
                  <w:divsChild>
                    <w:div w:id="1559516836">
                      <w:marLeft w:val="0"/>
                      <w:marRight w:val="0"/>
                      <w:marTop w:val="0"/>
                      <w:marBottom w:val="0"/>
                      <w:divBdr>
                        <w:top w:val="none" w:sz="0" w:space="0" w:color="auto"/>
                        <w:left w:val="none" w:sz="0" w:space="0" w:color="auto"/>
                        <w:bottom w:val="none" w:sz="0" w:space="0" w:color="auto"/>
                        <w:right w:val="none" w:sz="0" w:space="0" w:color="auto"/>
                      </w:divBdr>
                      <w:divsChild>
                        <w:div w:id="21199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79823">
      <w:bodyDiv w:val="1"/>
      <w:marLeft w:val="0"/>
      <w:marRight w:val="0"/>
      <w:marTop w:val="0"/>
      <w:marBottom w:val="0"/>
      <w:divBdr>
        <w:top w:val="none" w:sz="0" w:space="0" w:color="auto"/>
        <w:left w:val="none" w:sz="0" w:space="0" w:color="auto"/>
        <w:bottom w:val="none" w:sz="0" w:space="0" w:color="auto"/>
        <w:right w:val="none" w:sz="0" w:space="0" w:color="auto"/>
      </w:divBdr>
    </w:div>
    <w:div w:id="720593888">
      <w:bodyDiv w:val="1"/>
      <w:marLeft w:val="0"/>
      <w:marRight w:val="0"/>
      <w:marTop w:val="0"/>
      <w:marBottom w:val="0"/>
      <w:divBdr>
        <w:top w:val="none" w:sz="0" w:space="0" w:color="auto"/>
        <w:left w:val="none" w:sz="0" w:space="0" w:color="auto"/>
        <w:bottom w:val="none" w:sz="0" w:space="0" w:color="auto"/>
        <w:right w:val="none" w:sz="0" w:space="0" w:color="auto"/>
      </w:divBdr>
      <w:divsChild>
        <w:div w:id="1816876950">
          <w:marLeft w:val="0"/>
          <w:marRight w:val="0"/>
          <w:marTop w:val="0"/>
          <w:marBottom w:val="0"/>
          <w:divBdr>
            <w:top w:val="none" w:sz="0" w:space="0" w:color="auto"/>
            <w:left w:val="none" w:sz="0" w:space="0" w:color="auto"/>
            <w:bottom w:val="none" w:sz="0" w:space="0" w:color="auto"/>
            <w:right w:val="none" w:sz="0" w:space="0" w:color="auto"/>
          </w:divBdr>
          <w:divsChild>
            <w:div w:id="1909264595">
              <w:marLeft w:val="0"/>
              <w:marRight w:val="0"/>
              <w:marTop w:val="0"/>
              <w:marBottom w:val="0"/>
              <w:divBdr>
                <w:top w:val="none" w:sz="0" w:space="0" w:color="auto"/>
                <w:left w:val="none" w:sz="0" w:space="0" w:color="auto"/>
                <w:bottom w:val="none" w:sz="0" w:space="0" w:color="auto"/>
                <w:right w:val="none" w:sz="0" w:space="0" w:color="auto"/>
              </w:divBdr>
              <w:divsChild>
                <w:div w:id="403844215">
                  <w:marLeft w:val="2835"/>
                  <w:marRight w:val="0"/>
                  <w:marTop w:val="0"/>
                  <w:marBottom w:val="0"/>
                  <w:divBdr>
                    <w:top w:val="none" w:sz="0" w:space="0" w:color="auto"/>
                    <w:left w:val="none" w:sz="0" w:space="0" w:color="auto"/>
                    <w:bottom w:val="none" w:sz="0" w:space="0" w:color="auto"/>
                    <w:right w:val="none" w:sz="0" w:space="0" w:color="auto"/>
                  </w:divBdr>
                  <w:divsChild>
                    <w:div w:id="540022553">
                      <w:marLeft w:val="0"/>
                      <w:marRight w:val="0"/>
                      <w:marTop w:val="0"/>
                      <w:marBottom w:val="0"/>
                      <w:divBdr>
                        <w:top w:val="none" w:sz="0" w:space="0" w:color="auto"/>
                        <w:left w:val="none" w:sz="0" w:space="0" w:color="auto"/>
                        <w:bottom w:val="none" w:sz="0" w:space="0" w:color="auto"/>
                        <w:right w:val="none" w:sz="0" w:space="0" w:color="auto"/>
                      </w:divBdr>
                      <w:divsChild>
                        <w:div w:id="584539320">
                          <w:marLeft w:val="0"/>
                          <w:marRight w:val="0"/>
                          <w:marTop w:val="0"/>
                          <w:marBottom w:val="0"/>
                          <w:divBdr>
                            <w:top w:val="none" w:sz="0" w:space="0" w:color="auto"/>
                            <w:left w:val="none" w:sz="0" w:space="0" w:color="auto"/>
                            <w:bottom w:val="none" w:sz="0" w:space="0" w:color="auto"/>
                            <w:right w:val="none" w:sz="0" w:space="0" w:color="auto"/>
                          </w:divBdr>
                          <w:divsChild>
                            <w:div w:id="4292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526444">
      <w:bodyDiv w:val="1"/>
      <w:marLeft w:val="0"/>
      <w:marRight w:val="0"/>
      <w:marTop w:val="0"/>
      <w:marBottom w:val="0"/>
      <w:divBdr>
        <w:top w:val="none" w:sz="0" w:space="0" w:color="auto"/>
        <w:left w:val="none" w:sz="0" w:space="0" w:color="auto"/>
        <w:bottom w:val="none" w:sz="0" w:space="0" w:color="auto"/>
        <w:right w:val="none" w:sz="0" w:space="0" w:color="auto"/>
      </w:divBdr>
    </w:div>
    <w:div w:id="874151268">
      <w:bodyDiv w:val="1"/>
      <w:marLeft w:val="0"/>
      <w:marRight w:val="0"/>
      <w:marTop w:val="0"/>
      <w:marBottom w:val="0"/>
      <w:divBdr>
        <w:top w:val="none" w:sz="0" w:space="0" w:color="auto"/>
        <w:left w:val="none" w:sz="0" w:space="0" w:color="auto"/>
        <w:bottom w:val="none" w:sz="0" w:space="0" w:color="auto"/>
        <w:right w:val="none" w:sz="0" w:space="0" w:color="auto"/>
      </w:divBdr>
    </w:div>
    <w:div w:id="963578226">
      <w:bodyDiv w:val="1"/>
      <w:marLeft w:val="0"/>
      <w:marRight w:val="0"/>
      <w:marTop w:val="0"/>
      <w:marBottom w:val="0"/>
      <w:divBdr>
        <w:top w:val="none" w:sz="0" w:space="0" w:color="auto"/>
        <w:left w:val="none" w:sz="0" w:space="0" w:color="auto"/>
        <w:bottom w:val="none" w:sz="0" w:space="0" w:color="auto"/>
        <w:right w:val="none" w:sz="0" w:space="0" w:color="auto"/>
      </w:divBdr>
    </w:div>
    <w:div w:id="1524784994">
      <w:bodyDiv w:val="1"/>
      <w:marLeft w:val="0"/>
      <w:marRight w:val="0"/>
      <w:marTop w:val="0"/>
      <w:marBottom w:val="0"/>
      <w:divBdr>
        <w:top w:val="none" w:sz="0" w:space="0" w:color="auto"/>
        <w:left w:val="none" w:sz="0" w:space="0" w:color="auto"/>
        <w:bottom w:val="none" w:sz="0" w:space="0" w:color="auto"/>
        <w:right w:val="none" w:sz="0" w:space="0" w:color="auto"/>
      </w:divBdr>
    </w:div>
    <w:div w:id="1545018605">
      <w:bodyDiv w:val="1"/>
      <w:marLeft w:val="0"/>
      <w:marRight w:val="0"/>
      <w:marTop w:val="0"/>
      <w:marBottom w:val="0"/>
      <w:divBdr>
        <w:top w:val="none" w:sz="0" w:space="0" w:color="auto"/>
        <w:left w:val="none" w:sz="0" w:space="0" w:color="auto"/>
        <w:bottom w:val="none" w:sz="0" w:space="0" w:color="auto"/>
        <w:right w:val="none" w:sz="0" w:space="0" w:color="auto"/>
      </w:divBdr>
    </w:div>
    <w:div w:id="1722291477">
      <w:bodyDiv w:val="1"/>
      <w:marLeft w:val="0"/>
      <w:marRight w:val="0"/>
      <w:marTop w:val="0"/>
      <w:marBottom w:val="0"/>
      <w:divBdr>
        <w:top w:val="none" w:sz="0" w:space="0" w:color="auto"/>
        <w:left w:val="none" w:sz="0" w:space="0" w:color="auto"/>
        <w:bottom w:val="none" w:sz="0" w:space="0" w:color="auto"/>
        <w:right w:val="none" w:sz="0" w:space="0" w:color="auto"/>
      </w:divBdr>
    </w:div>
    <w:div w:id="1785152972">
      <w:bodyDiv w:val="1"/>
      <w:marLeft w:val="0"/>
      <w:marRight w:val="0"/>
      <w:marTop w:val="0"/>
      <w:marBottom w:val="0"/>
      <w:divBdr>
        <w:top w:val="none" w:sz="0" w:space="0" w:color="auto"/>
        <w:left w:val="none" w:sz="0" w:space="0" w:color="auto"/>
        <w:bottom w:val="none" w:sz="0" w:space="0" w:color="auto"/>
        <w:right w:val="none" w:sz="0" w:space="0" w:color="auto"/>
      </w:divBdr>
      <w:divsChild>
        <w:div w:id="1911453650">
          <w:marLeft w:val="0"/>
          <w:marRight w:val="0"/>
          <w:marTop w:val="0"/>
          <w:marBottom w:val="0"/>
          <w:divBdr>
            <w:top w:val="none" w:sz="0" w:space="0" w:color="auto"/>
            <w:left w:val="none" w:sz="0" w:space="0" w:color="auto"/>
            <w:bottom w:val="none" w:sz="0" w:space="0" w:color="auto"/>
            <w:right w:val="none" w:sz="0" w:space="0" w:color="auto"/>
          </w:divBdr>
          <w:divsChild>
            <w:div w:id="771558557">
              <w:marLeft w:val="0"/>
              <w:marRight w:val="0"/>
              <w:marTop w:val="0"/>
              <w:marBottom w:val="0"/>
              <w:divBdr>
                <w:top w:val="none" w:sz="0" w:space="0" w:color="auto"/>
                <w:left w:val="none" w:sz="0" w:space="0" w:color="auto"/>
                <w:bottom w:val="none" w:sz="0" w:space="0" w:color="auto"/>
                <w:right w:val="none" w:sz="0" w:space="0" w:color="auto"/>
              </w:divBdr>
              <w:divsChild>
                <w:div w:id="987444322">
                  <w:marLeft w:val="0"/>
                  <w:marRight w:val="0"/>
                  <w:marTop w:val="0"/>
                  <w:marBottom w:val="0"/>
                  <w:divBdr>
                    <w:top w:val="none" w:sz="0" w:space="0" w:color="auto"/>
                    <w:left w:val="none" w:sz="0" w:space="0" w:color="auto"/>
                    <w:bottom w:val="none" w:sz="0" w:space="0" w:color="auto"/>
                    <w:right w:val="none" w:sz="0" w:space="0" w:color="auto"/>
                  </w:divBdr>
                  <w:divsChild>
                    <w:div w:id="1796367809">
                      <w:marLeft w:val="0"/>
                      <w:marRight w:val="0"/>
                      <w:marTop w:val="0"/>
                      <w:marBottom w:val="0"/>
                      <w:divBdr>
                        <w:top w:val="none" w:sz="0" w:space="0" w:color="auto"/>
                        <w:left w:val="none" w:sz="0" w:space="0" w:color="auto"/>
                        <w:bottom w:val="none" w:sz="0" w:space="0" w:color="auto"/>
                        <w:right w:val="none" w:sz="0" w:space="0" w:color="auto"/>
                      </w:divBdr>
                      <w:divsChild>
                        <w:div w:id="18396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9352">
      <w:bodyDiv w:val="1"/>
      <w:marLeft w:val="0"/>
      <w:marRight w:val="0"/>
      <w:marTop w:val="0"/>
      <w:marBottom w:val="0"/>
      <w:divBdr>
        <w:top w:val="none" w:sz="0" w:space="0" w:color="auto"/>
        <w:left w:val="none" w:sz="0" w:space="0" w:color="auto"/>
        <w:bottom w:val="none" w:sz="0" w:space="0" w:color="auto"/>
        <w:right w:val="none" w:sz="0" w:space="0" w:color="auto"/>
      </w:divBdr>
      <w:divsChild>
        <w:div w:id="556670030">
          <w:marLeft w:val="0"/>
          <w:marRight w:val="0"/>
          <w:marTop w:val="0"/>
          <w:marBottom w:val="0"/>
          <w:divBdr>
            <w:top w:val="none" w:sz="0" w:space="0" w:color="auto"/>
            <w:left w:val="none" w:sz="0" w:space="0" w:color="auto"/>
            <w:bottom w:val="none" w:sz="0" w:space="0" w:color="auto"/>
            <w:right w:val="none" w:sz="0" w:space="0" w:color="auto"/>
          </w:divBdr>
          <w:divsChild>
            <w:div w:id="2115051696">
              <w:marLeft w:val="0"/>
              <w:marRight w:val="0"/>
              <w:marTop w:val="0"/>
              <w:marBottom w:val="0"/>
              <w:divBdr>
                <w:top w:val="none" w:sz="0" w:space="0" w:color="auto"/>
                <w:left w:val="none" w:sz="0" w:space="0" w:color="auto"/>
                <w:bottom w:val="none" w:sz="0" w:space="0" w:color="auto"/>
                <w:right w:val="none" w:sz="0" w:space="0" w:color="auto"/>
              </w:divBdr>
              <w:divsChild>
                <w:div w:id="886797920">
                  <w:marLeft w:val="0"/>
                  <w:marRight w:val="0"/>
                  <w:marTop w:val="0"/>
                  <w:marBottom w:val="0"/>
                  <w:divBdr>
                    <w:top w:val="none" w:sz="0" w:space="0" w:color="auto"/>
                    <w:left w:val="none" w:sz="0" w:space="0" w:color="auto"/>
                    <w:bottom w:val="none" w:sz="0" w:space="0" w:color="auto"/>
                    <w:right w:val="none" w:sz="0" w:space="0" w:color="auto"/>
                  </w:divBdr>
                  <w:divsChild>
                    <w:div w:id="394666091">
                      <w:marLeft w:val="0"/>
                      <w:marRight w:val="0"/>
                      <w:marTop w:val="0"/>
                      <w:marBottom w:val="0"/>
                      <w:divBdr>
                        <w:top w:val="none" w:sz="0" w:space="0" w:color="auto"/>
                        <w:left w:val="none" w:sz="0" w:space="0" w:color="auto"/>
                        <w:bottom w:val="none" w:sz="0" w:space="0" w:color="auto"/>
                        <w:right w:val="none" w:sz="0" w:space="0" w:color="auto"/>
                      </w:divBdr>
                      <w:divsChild>
                        <w:div w:id="775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78610">
      <w:bodyDiv w:val="1"/>
      <w:marLeft w:val="0"/>
      <w:marRight w:val="0"/>
      <w:marTop w:val="0"/>
      <w:marBottom w:val="0"/>
      <w:divBdr>
        <w:top w:val="none" w:sz="0" w:space="0" w:color="auto"/>
        <w:left w:val="none" w:sz="0" w:space="0" w:color="auto"/>
        <w:bottom w:val="none" w:sz="0" w:space="0" w:color="auto"/>
        <w:right w:val="none" w:sz="0" w:space="0" w:color="auto"/>
      </w:divBdr>
    </w:div>
    <w:div w:id="2027828433">
      <w:bodyDiv w:val="1"/>
      <w:marLeft w:val="0"/>
      <w:marRight w:val="0"/>
      <w:marTop w:val="0"/>
      <w:marBottom w:val="0"/>
      <w:divBdr>
        <w:top w:val="none" w:sz="0" w:space="0" w:color="auto"/>
        <w:left w:val="none" w:sz="0" w:space="0" w:color="auto"/>
        <w:bottom w:val="none" w:sz="0" w:space="0" w:color="auto"/>
        <w:right w:val="none" w:sz="0" w:space="0" w:color="auto"/>
      </w:divBdr>
      <w:divsChild>
        <w:div w:id="545606945">
          <w:marLeft w:val="0"/>
          <w:marRight w:val="0"/>
          <w:marTop w:val="0"/>
          <w:marBottom w:val="0"/>
          <w:divBdr>
            <w:top w:val="none" w:sz="0" w:space="0" w:color="auto"/>
            <w:left w:val="none" w:sz="0" w:space="0" w:color="auto"/>
            <w:bottom w:val="none" w:sz="0" w:space="0" w:color="auto"/>
            <w:right w:val="none" w:sz="0" w:space="0" w:color="auto"/>
          </w:divBdr>
          <w:divsChild>
            <w:div w:id="109860167">
              <w:marLeft w:val="0"/>
              <w:marRight w:val="0"/>
              <w:marTop w:val="0"/>
              <w:marBottom w:val="0"/>
              <w:divBdr>
                <w:top w:val="none" w:sz="0" w:space="0" w:color="auto"/>
                <w:left w:val="none" w:sz="0" w:space="0" w:color="auto"/>
                <w:bottom w:val="none" w:sz="0" w:space="0" w:color="auto"/>
                <w:right w:val="none" w:sz="0" w:space="0" w:color="auto"/>
              </w:divBdr>
              <w:divsChild>
                <w:div w:id="1868980157">
                  <w:marLeft w:val="0"/>
                  <w:marRight w:val="0"/>
                  <w:marTop w:val="0"/>
                  <w:marBottom w:val="0"/>
                  <w:divBdr>
                    <w:top w:val="none" w:sz="0" w:space="0" w:color="auto"/>
                    <w:left w:val="none" w:sz="0" w:space="0" w:color="auto"/>
                    <w:bottom w:val="none" w:sz="0" w:space="0" w:color="auto"/>
                    <w:right w:val="none" w:sz="0" w:space="0" w:color="auto"/>
                  </w:divBdr>
                  <w:divsChild>
                    <w:div w:id="320351551">
                      <w:marLeft w:val="0"/>
                      <w:marRight w:val="0"/>
                      <w:marTop w:val="0"/>
                      <w:marBottom w:val="0"/>
                      <w:divBdr>
                        <w:top w:val="none" w:sz="0" w:space="0" w:color="auto"/>
                        <w:left w:val="none" w:sz="0" w:space="0" w:color="auto"/>
                        <w:bottom w:val="none" w:sz="0" w:space="0" w:color="auto"/>
                        <w:right w:val="none" w:sz="0" w:space="0" w:color="auto"/>
                      </w:divBdr>
                      <w:divsChild>
                        <w:div w:id="7394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gov.scot/Publications/2017/03/7843/download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A21065106</value>
    </field>
    <field name="Objective-Title">
      <value order="0">eInvoicing - Transposition - Documents - Draft BRIA - July 2018</value>
    </field>
    <field name="Objective-Description">
      <value order="0"/>
    </field>
    <field name="Objective-CreationStamp">
      <value order="0">2018-04-17T11:00:42Z</value>
    </field>
    <field name="Objective-IsApproved">
      <value order="0">false</value>
    </field>
    <field name="Objective-IsPublished">
      <value order="0">true</value>
    </field>
    <field name="Objective-DatePublished">
      <value order="0">2018-07-03T13:48:36Z</value>
    </field>
    <field name="Objective-ModificationStamp">
      <value order="0">2018-07-03T13:48:36Z</value>
    </field>
    <field name="Objective-Owner">
      <value order="0">Ross, Jonathan JB (u200417)</value>
    </field>
    <field name="Objective-Path">
      <value order="0">Objective Global Folder:SG File Plan:Government, politics and public administration:Public administration:Procurement:Advice and policy: Procurement:eCommerce Shared Service: Capability Development - eInvoicing - Transposition of EU Directive: 2016-2021</value>
    </field>
    <field name="Objective-Parent">
      <value order="0">eCommerce Shared Service: Capability Development - eInvoicing - Transposition of EU Directive: 2016-2021</value>
    </field>
    <field name="Objective-State">
      <value order="0">Published</value>
    </field>
    <field name="Objective-VersionId">
      <value order="0">vA30245502</value>
    </field>
    <field name="Objective-Version">
      <value order="0">15.0</value>
    </field>
    <field name="Objective-VersionNumber">
      <value order="0">16</value>
    </field>
    <field name="Objective-VersionComment">
      <value order="0"/>
    </field>
    <field name="Objective-FileNumber">
      <value order="0">qA624330</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EC6596F-C497-4BEA-BED1-DDB2BFBA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11604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Regulatory Impact Assessment Template</vt:lpstr>
    </vt:vector>
  </TitlesOfParts>
  <Company>Scottish Executive</Company>
  <LinksUpToDate>false</LinksUpToDate>
  <CharactersWithSpaces>13612</CharactersWithSpaces>
  <SharedDoc>false</SharedDoc>
  <HLinks>
    <vt:vector size="12" baseType="variant">
      <vt:variant>
        <vt:i4>5374070</vt:i4>
      </vt:variant>
      <vt:variant>
        <vt:i4>3</vt:i4>
      </vt:variant>
      <vt:variant>
        <vt:i4>0</vt:i4>
      </vt:variant>
      <vt:variant>
        <vt:i4>5</vt:i4>
      </vt:variant>
      <vt:variant>
        <vt:lpwstr>mailto:legalaidtrawl@scotland.gsi.gov.uk</vt:lpwstr>
      </vt:variant>
      <vt:variant>
        <vt:lpwstr/>
      </vt:variant>
      <vt:variant>
        <vt:i4>3670066</vt:i4>
      </vt:variant>
      <vt:variant>
        <vt:i4>0</vt:i4>
      </vt:variant>
      <vt:variant>
        <vt:i4>0</vt:i4>
      </vt:variant>
      <vt:variant>
        <vt:i4>5</vt:i4>
      </vt:variant>
      <vt:variant>
        <vt:lpwstr>http://www.scotland.gov.uk/Topics/Business-Industry/support/better-regulation/guidance/Toolkit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Assessment Template</dc:title>
  <dc:creator>u202231</dc:creator>
  <cp:lastModifiedBy>u419419</cp:lastModifiedBy>
  <cp:revision>2</cp:revision>
  <cp:lastPrinted>2018-06-28T08:47:00Z</cp:lastPrinted>
  <dcterms:created xsi:type="dcterms:W3CDTF">2018-07-26T09:26:00Z</dcterms:created>
  <dcterms:modified xsi:type="dcterms:W3CDTF">2018-07-26T09:26:00Z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A21065106</vt:lpwstr>
  </property>
  <property fmtid="{D5CDD505-2E9C-101B-9397-08002B2CF9AE}" pid="3" name="Objective-Comment">
    <vt:lpwstr/>
  </property>
  <property fmtid="{D5CDD505-2E9C-101B-9397-08002B2CF9AE}" pid="4" name="Objective-CreationStamp">
    <vt:filetime>2018-05-15T12:46:54Z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2018-07-03T13:48:36Z</vt:filetime>
  </property>
  <property fmtid="{D5CDD505-2E9C-101B-9397-08002B2CF9AE}" pid="8" name="Objective-ModificationStamp">
    <vt:filetime>2018-07-03T13:48:36Z</vt:filetime>
  </property>
  <property fmtid="{D5CDD505-2E9C-101B-9397-08002B2CF9AE}" pid="9" name="Objective-Owner">
    <vt:lpwstr>Ross, Jonathan JB (u200417)</vt:lpwstr>
  </property>
  <property fmtid="{D5CDD505-2E9C-101B-9397-08002B2CF9AE}" pid="10" name="Objective-Path">
    <vt:lpwstr>Objective Global Folder:SG File Plan:Government, politics and public administration:Public administration:Procurement:Advice and policy: Procurement:eCommerce Shared Service: Capability Development - eInvoicing - Transposition of EU Directive: 2016-2021:</vt:lpwstr>
  </property>
  <property fmtid="{D5CDD505-2E9C-101B-9397-08002B2CF9AE}" pid="11" name="Objective-Parent">
    <vt:lpwstr>eCommerce Shared Service: Capability Development - eInvoicing - Transposition of EU Directive: 2016-2021</vt:lpwstr>
  </property>
  <property fmtid="{D5CDD505-2E9C-101B-9397-08002B2CF9AE}" pid="12" name="Objective-State">
    <vt:lpwstr>Published</vt:lpwstr>
  </property>
  <property fmtid="{D5CDD505-2E9C-101B-9397-08002B2CF9AE}" pid="13" name="Objective-Title">
    <vt:lpwstr>eInvoicing - Transposition - Documents - Draft BRIA - July 2018</vt:lpwstr>
  </property>
  <property fmtid="{D5CDD505-2E9C-101B-9397-08002B2CF9AE}" pid="14" name="Objective-Version">
    <vt:lpwstr>15.0</vt:lpwstr>
  </property>
  <property fmtid="{D5CDD505-2E9C-101B-9397-08002B2CF9AE}" pid="15" name="Objective-VersionComment">
    <vt:lpwstr/>
  </property>
  <property fmtid="{D5CDD505-2E9C-101B-9397-08002B2CF9AE}" pid="16" name="Objective-VersionNumber">
    <vt:r8>16</vt:r8>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escription">
    <vt:lpwstr/>
  </property>
  <property fmtid="{D5CDD505-2E9C-101B-9397-08002B2CF9AE}" pid="25" name="Objective-VersionId">
    <vt:lpwstr>vA30245502</vt:lpwstr>
  </property>
  <property fmtid="{D5CDD505-2E9C-101B-9397-08002B2CF9AE}" pid="26" name="Objective-Date Received">
    <vt:lpwstr/>
  </property>
  <property fmtid="{D5CDD505-2E9C-101B-9397-08002B2CF9AE}" pid="27" name="Objective-Date of Original">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Connect Creator [system]">
    <vt:lpwstr/>
  </property>
</Properties>
</file>