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7ED" w:rsidRDefault="002873B1" w:rsidP="00061E91">
      <w:pPr>
        <w:rPr>
          <w:b/>
          <w:lang w:val="en-GB"/>
        </w:rPr>
      </w:pPr>
      <w:bookmarkStart w:id="0" w:name="_GoBack"/>
      <w:bookmarkEnd w:id="0"/>
      <w:r w:rsidRPr="002873B1">
        <w:rPr>
          <w:b/>
          <w:lang w:val="en"/>
        </w:rPr>
        <w:t>Consultation on implementing an exemption for Energy Intensive Industries from the indirect costs of the Renewables Obligation Scotland</w:t>
      </w:r>
    </w:p>
    <w:p w:rsidR="007417ED" w:rsidRDefault="007417ED" w:rsidP="00E36759">
      <w:pPr>
        <w:rPr>
          <w:b/>
          <w:lang w:val="en-GB"/>
        </w:rPr>
      </w:pPr>
    </w:p>
    <w:p w:rsidR="002336E8" w:rsidRDefault="007417ED" w:rsidP="00061E91">
      <w:pPr>
        <w:rPr>
          <w:b/>
          <w:lang w:val="en-GB"/>
        </w:rPr>
      </w:pPr>
      <w:r>
        <w:rPr>
          <w:b/>
          <w:lang w:val="en-GB"/>
        </w:rPr>
        <w:t>Introduction</w:t>
      </w:r>
    </w:p>
    <w:p w:rsidR="00061E91" w:rsidRDefault="00061E91" w:rsidP="00061E91">
      <w:pPr>
        <w:rPr>
          <w:b/>
          <w:lang w:val="en-GB"/>
        </w:rPr>
      </w:pPr>
    </w:p>
    <w:p w:rsidR="00CD3149" w:rsidRPr="009450C7" w:rsidRDefault="00CD3149" w:rsidP="00CD3149">
      <w:pPr>
        <w:pStyle w:val="ListParagraph"/>
        <w:numPr>
          <w:ilvl w:val="0"/>
          <w:numId w:val="8"/>
        </w:numPr>
        <w:rPr>
          <w:rFonts w:cs="Arial"/>
          <w:szCs w:val="24"/>
          <w:lang w:val="en-GB" w:eastAsia="en-GB"/>
        </w:rPr>
      </w:pPr>
      <w:r w:rsidRPr="009450C7">
        <w:rPr>
          <w:lang w:val="en-GB"/>
        </w:rPr>
        <w:t xml:space="preserve">The purpose of this consultation was to gather views from interested </w:t>
      </w:r>
      <w:r w:rsidR="002873B1" w:rsidRPr="009450C7">
        <w:rPr>
          <w:lang w:val="en-GB"/>
        </w:rPr>
        <w:t>parties</w:t>
      </w:r>
      <w:r w:rsidRPr="009450C7">
        <w:rPr>
          <w:lang w:val="en-GB"/>
        </w:rPr>
        <w:t xml:space="preserve"> on proposals</w:t>
      </w:r>
      <w:r w:rsidR="002873B1" w:rsidRPr="009450C7">
        <w:rPr>
          <w:lang w:val="en-GB"/>
        </w:rPr>
        <w:t xml:space="preserve"> to transition to an exemption for Energy Intensive Industries (</w:t>
      </w:r>
      <w:proofErr w:type="spellStart"/>
      <w:r w:rsidR="002873B1" w:rsidRPr="009450C7">
        <w:rPr>
          <w:lang w:val="en-GB"/>
        </w:rPr>
        <w:t>EIIs</w:t>
      </w:r>
      <w:proofErr w:type="spellEnd"/>
      <w:r w:rsidR="002873B1" w:rsidRPr="009450C7">
        <w:rPr>
          <w:lang w:val="en-GB"/>
        </w:rPr>
        <w:t>) as a consequence of the UK Government’s proposals, as they relate to the Renewables Obligation</w:t>
      </w:r>
      <w:r w:rsidR="00E66CB8">
        <w:rPr>
          <w:lang w:val="en-GB"/>
        </w:rPr>
        <w:t xml:space="preserve"> (RO)</w:t>
      </w:r>
      <w:r w:rsidR="002873B1" w:rsidRPr="009450C7">
        <w:rPr>
          <w:lang w:val="en-GB"/>
        </w:rPr>
        <w:t xml:space="preserve"> Scotland.</w:t>
      </w:r>
    </w:p>
    <w:p w:rsidR="002873B1" w:rsidRPr="002873B1" w:rsidRDefault="002873B1" w:rsidP="002873B1">
      <w:pPr>
        <w:pStyle w:val="ListParagraph"/>
        <w:ind w:left="360"/>
        <w:rPr>
          <w:rFonts w:cs="Arial"/>
          <w:szCs w:val="24"/>
          <w:lang w:val="en-GB" w:eastAsia="en-GB"/>
        </w:rPr>
      </w:pPr>
    </w:p>
    <w:p w:rsidR="002873B1" w:rsidRPr="002873B1" w:rsidRDefault="002873B1" w:rsidP="002873B1">
      <w:pPr>
        <w:pStyle w:val="ListParagraph"/>
        <w:numPr>
          <w:ilvl w:val="0"/>
          <w:numId w:val="8"/>
        </w:numPr>
        <w:rPr>
          <w:rFonts w:cs="Arial"/>
          <w:szCs w:val="24"/>
          <w:lang w:val="en-GB" w:eastAsia="en-GB"/>
        </w:rPr>
      </w:pPr>
      <w:r w:rsidRPr="002873B1">
        <w:rPr>
          <w:rFonts w:cs="Arial"/>
          <w:szCs w:val="24"/>
          <w:lang w:val="en-GB" w:eastAsia="en-GB"/>
        </w:rPr>
        <w:t xml:space="preserve">The consultation paper proposed to follow the same approach as </w:t>
      </w:r>
      <w:r>
        <w:rPr>
          <w:rFonts w:cs="Arial"/>
          <w:szCs w:val="24"/>
          <w:lang w:val="en-GB" w:eastAsia="en-GB"/>
        </w:rPr>
        <w:t xml:space="preserve">the </w:t>
      </w:r>
      <w:r w:rsidRPr="002873B1">
        <w:rPr>
          <w:rFonts w:cs="Arial"/>
          <w:szCs w:val="24"/>
          <w:lang w:val="en-GB" w:eastAsia="en-GB"/>
        </w:rPr>
        <w:t>D</w:t>
      </w:r>
      <w:r>
        <w:rPr>
          <w:rFonts w:cs="Arial"/>
          <w:szCs w:val="24"/>
          <w:lang w:val="en-GB" w:eastAsia="en-GB"/>
        </w:rPr>
        <w:t xml:space="preserve">epartment for </w:t>
      </w:r>
      <w:r w:rsidRPr="002873B1">
        <w:rPr>
          <w:rFonts w:cs="Arial"/>
          <w:szCs w:val="24"/>
          <w:lang w:val="en-GB" w:eastAsia="en-GB"/>
        </w:rPr>
        <w:t>E</w:t>
      </w:r>
      <w:r>
        <w:rPr>
          <w:rFonts w:cs="Arial"/>
          <w:szCs w:val="24"/>
          <w:lang w:val="en-GB" w:eastAsia="en-GB"/>
        </w:rPr>
        <w:t xml:space="preserve">nergy and </w:t>
      </w:r>
      <w:r w:rsidRPr="002873B1">
        <w:rPr>
          <w:rFonts w:cs="Arial"/>
          <w:szCs w:val="24"/>
          <w:lang w:val="en-GB" w:eastAsia="en-GB"/>
        </w:rPr>
        <w:t>C</w:t>
      </w:r>
      <w:r>
        <w:rPr>
          <w:rFonts w:cs="Arial"/>
          <w:szCs w:val="24"/>
          <w:lang w:val="en-GB" w:eastAsia="en-GB"/>
        </w:rPr>
        <w:t xml:space="preserve">limate </w:t>
      </w:r>
      <w:r w:rsidRPr="002873B1">
        <w:rPr>
          <w:rFonts w:cs="Arial"/>
          <w:szCs w:val="24"/>
          <w:lang w:val="en-GB" w:eastAsia="en-GB"/>
        </w:rPr>
        <w:t>C</w:t>
      </w:r>
      <w:r>
        <w:rPr>
          <w:rFonts w:cs="Arial"/>
          <w:szCs w:val="24"/>
          <w:lang w:val="en-GB" w:eastAsia="en-GB"/>
        </w:rPr>
        <w:t>hange (</w:t>
      </w:r>
      <w:proofErr w:type="spellStart"/>
      <w:r>
        <w:rPr>
          <w:rFonts w:cs="Arial"/>
          <w:szCs w:val="24"/>
          <w:lang w:val="en-GB" w:eastAsia="en-GB"/>
        </w:rPr>
        <w:t>DECC</w:t>
      </w:r>
      <w:proofErr w:type="spellEnd"/>
      <w:r>
        <w:rPr>
          <w:rFonts w:cs="Arial"/>
          <w:szCs w:val="24"/>
          <w:lang w:val="en-GB" w:eastAsia="en-GB"/>
        </w:rPr>
        <w:t>)</w:t>
      </w:r>
      <w:r w:rsidRPr="002873B1">
        <w:rPr>
          <w:rFonts w:cs="Arial"/>
          <w:szCs w:val="24"/>
          <w:lang w:val="en-GB" w:eastAsia="en-GB"/>
        </w:rPr>
        <w:t xml:space="preserve"> </w:t>
      </w:r>
      <w:r>
        <w:rPr>
          <w:rFonts w:cs="Arial"/>
          <w:szCs w:val="24"/>
          <w:lang w:val="en-GB" w:eastAsia="en-GB"/>
        </w:rPr>
        <w:t>by</w:t>
      </w:r>
      <w:r w:rsidRPr="002873B1">
        <w:rPr>
          <w:rFonts w:cs="Arial"/>
          <w:szCs w:val="24"/>
          <w:lang w:val="en-GB" w:eastAsia="en-GB"/>
        </w:rPr>
        <w:t xml:space="preserve"> introduc</w:t>
      </w:r>
      <w:r>
        <w:rPr>
          <w:rFonts w:cs="Arial"/>
          <w:szCs w:val="24"/>
          <w:lang w:val="en-GB" w:eastAsia="en-GB"/>
        </w:rPr>
        <w:t>ing</w:t>
      </w:r>
      <w:r w:rsidRPr="002873B1">
        <w:rPr>
          <w:rFonts w:cs="Arial"/>
          <w:szCs w:val="24"/>
          <w:lang w:val="en-GB" w:eastAsia="en-GB"/>
        </w:rPr>
        <w:t xml:space="preserve"> identical provisions and requirements as in England and Wales</w:t>
      </w:r>
      <w:r>
        <w:rPr>
          <w:rFonts w:cs="Arial"/>
          <w:szCs w:val="24"/>
          <w:lang w:val="en-GB" w:eastAsia="en-GB"/>
        </w:rPr>
        <w:t>,</w:t>
      </w:r>
      <w:r w:rsidRPr="002873B1">
        <w:rPr>
          <w:rFonts w:cs="Arial"/>
          <w:szCs w:val="24"/>
          <w:lang w:val="en-GB" w:eastAsia="en-GB"/>
        </w:rPr>
        <w:t xml:space="preserve"> in order to ensure that </w:t>
      </w:r>
      <w:proofErr w:type="spellStart"/>
      <w:r w:rsidRPr="002873B1">
        <w:rPr>
          <w:rFonts w:cs="Arial"/>
          <w:szCs w:val="24"/>
          <w:lang w:val="en-GB" w:eastAsia="en-GB"/>
        </w:rPr>
        <w:t>EIIs</w:t>
      </w:r>
      <w:proofErr w:type="spellEnd"/>
      <w:r w:rsidRPr="002873B1">
        <w:rPr>
          <w:rFonts w:cs="Arial"/>
          <w:szCs w:val="24"/>
          <w:lang w:val="en-GB" w:eastAsia="en-GB"/>
        </w:rPr>
        <w:t xml:space="preserve"> operating fully, or in part, within Scotland can benefit from the proposed GB-wide </w:t>
      </w:r>
      <w:r>
        <w:rPr>
          <w:rFonts w:cs="Arial"/>
          <w:szCs w:val="24"/>
          <w:lang w:val="en-GB" w:eastAsia="en-GB"/>
        </w:rPr>
        <w:t>exemption.</w:t>
      </w:r>
    </w:p>
    <w:p w:rsidR="00283097" w:rsidRDefault="00283097" w:rsidP="00E36759">
      <w:pPr>
        <w:rPr>
          <w:lang w:val="en-GB"/>
        </w:rPr>
      </w:pPr>
    </w:p>
    <w:p w:rsidR="00283097" w:rsidRDefault="00F76E06" w:rsidP="00E36759">
      <w:pPr>
        <w:rPr>
          <w:b/>
          <w:lang w:val="en-GB"/>
        </w:rPr>
      </w:pPr>
      <w:r>
        <w:rPr>
          <w:b/>
          <w:lang w:val="en-GB"/>
        </w:rPr>
        <w:t>T</w:t>
      </w:r>
      <w:r w:rsidR="00283097">
        <w:rPr>
          <w:b/>
          <w:lang w:val="en-GB"/>
        </w:rPr>
        <w:t xml:space="preserve">he </w:t>
      </w:r>
      <w:r w:rsidR="00D476FF">
        <w:rPr>
          <w:b/>
          <w:lang w:val="en-GB"/>
        </w:rPr>
        <w:t>C</w:t>
      </w:r>
      <w:r w:rsidR="00283097">
        <w:rPr>
          <w:b/>
          <w:lang w:val="en-GB"/>
        </w:rPr>
        <w:t>onsultation</w:t>
      </w:r>
    </w:p>
    <w:p w:rsidR="00283097" w:rsidRDefault="00283097" w:rsidP="00E36759">
      <w:pPr>
        <w:rPr>
          <w:b/>
          <w:lang w:val="en-GB"/>
        </w:rPr>
      </w:pPr>
    </w:p>
    <w:p w:rsidR="00283097" w:rsidRPr="00061E91" w:rsidRDefault="00283097" w:rsidP="00061E91">
      <w:pPr>
        <w:pStyle w:val="ListParagraph"/>
        <w:numPr>
          <w:ilvl w:val="0"/>
          <w:numId w:val="8"/>
        </w:numPr>
        <w:rPr>
          <w:lang w:val="en-GB"/>
        </w:rPr>
      </w:pPr>
      <w:r w:rsidRPr="00061E91">
        <w:rPr>
          <w:lang w:val="en-GB"/>
        </w:rPr>
        <w:t>The consultation</w:t>
      </w:r>
      <w:r w:rsidR="00E674F4">
        <w:rPr>
          <w:lang w:val="en-GB"/>
        </w:rPr>
        <w:t xml:space="preserve"> was published online and</w:t>
      </w:r>
      <w:r w:rsidRPr="00061E91">
        <w:rPr>
          <w:lang w:val="en-GB"/>
        </w:rPr>
        <w:t xml:space="preserve"> ran between </w:t>
      </w:r>
      <w:r w:rsidR="002873B1">
        <w:rPr>
          <w:lang w:val="en-GB"/>
        </w:rPr>
        <w:t>19 May</w:t>
      </w:r>
      <w:r w:rsidR="00061E91" w:rsidRPr="00061E91">
        <w:rPr>
          <w:lang w:val="en-GB"/>
        </w:rPr>
        <w:t xml:space="preserve"> and 2</w:t>
      </w:r>
      <w:r w:rsidR="002873B1">
        <w:rPr>
          <w:lang w:val="en-GB"/>
        </w:rPr>
        <w:t>6 June 2016,</w:t>
      </w:r>
      <w:r w:rsidRPr="00061E91">
        <w:rPr>
          <w:lang w:val="en-GB"/>
        </w:rPr>
        <w:t xml:space="preserve"> </w:t>
      </w:r>
      <w:r w:rsidR="00E674F4">
        <w:rPr>
          <w:lang w:val="en-GB"/>
        </w:rPr>
        <w:t xml:space="preserve">inviting </w:t>
      </w:r>
      <w:r w:rsidRPr="00061E91">
        <w:rPr>
          <w:lang w:val="en-GB"/>
        </w:rPr>
        <w:t>comment</w:t>
      </w:r>
      <w:r w:rsidR="00061E91">
        <w:rPr>
          <w:lang w:val="en-GB"/>
        </w:rPr>
        <w:t>s</w:t>
      </w:r>
      <w:r w:rsidRPr="00061E91">
        <w:rPr>
          <w:lang w:val="en-GB"/>
        </w:rPr>
        <w:t xml:space="preserve"> on the </w:t>
      </w:r>
      <w:r w:rsidR="002873B1">
        <w:rPr>
          <w:lang w:val="en-GB"/>
        </w:rPr>
        <w:t>following key issue</w:t>
      </w:r>
      <w:r w:rsidRPr="00061E91">
        <w:rPr>
          <w:lang w:val="en-GB"/>
        </w:rPr>
        <w:t>:</w:t>
      </w:r>
    </w:p>
    <w:p w:rsidR="00D476FF" w:rsidRDefault="00D476FF" w:rsidP="00E36759">
      <w:pPr>
        <w:rPr>
          <w:lang w:val="en-GB"/>
        </w:rPr>
      </w:pPr>
    </w:p>
    <w:p w:rsidR="002873B1" w:rsidRPr="002873B1" w:rsidRDefault="002873B1" w:rsidP="002873B1">
      <w:pPr>
        <w:pStyle w:val="ListParagraph"/>
        <w:numPr>
          <w:ilvl w:val="0"/>
          <w:numId w:val="5"/>
        </w:numPr>
        <w:rPr>
          <w:lang w:val="en-GB"/>
        </w:rPr>
      </w:pPr>
      <w:r w:rsidRPr="002873B1">
        <w:rPr>
          <w:lang w:val="en-GB"/>
        </w:rPr>
        <w:t xml:space="preserve">We would like to hear and receive the views of </w:t>
      </w:r>
      <w:proofErr w:type="spellStart"/>
      <w:r w:rsidRPr="002873B1">
        <w:rPr>
          <w:lang w:val="en-GB"/>
        </w:rPr>
        <w:t>consultees</w:t>
      </w:r>
      <w:proofErr w:type="spellEnd"/>
      <w:r w:rsidRPr="002873B1">
        <w:rPr>
          <w:lang w:val="en-GB"/>
        </w:rPr>
        <w:t xml:space="preserve"> on the decisions in relation to implementing the exemption for </w:t>
      </w:r>
      <w:proofErr w:type="spellStart"/>
      <w:r w:rsidRPr="002873B1">
        <w:rPr>
          <w:lang w:val="en-GB"/>
        </w:rPr>
        <w:t>EIIs</w:t>
      </w:r>
      <w:proofErr w:type="spellEnd"/>
      <w:r w:rsidRPr="002873B1">
        <w:rPr>
          <w:lang w:val="en-GB"/>
        </w:rPr>
        <w:t xml:space="preserve"> as a consequence of the UK</w:t>
      </w:r>
      <w:r>
        <w:rPr>
          <w:lang w:val="en-GB"/>
        </w:rPr>
        <w:t xml:space="preserve"> </w:t>
      </w:r>
      <w:r w:rsidRPr="002873B1">
        <w:rPr>
          <w:lang w:val="en-GB"/>
        </w:rPr>
        <w:t>Government’s proposals, as they relate to the RO Scotland.</w:t>
      </w:r>
    </w:p>
    <w:p w:rsidR="00125EE5" w:rsidRDefault="002873B1" w:rsidP="002873B1">
      <w:pPr>
        <w:pStyle w:val="ListParagraph"/>
        <w:rPr>
          <w:lang w:val="en-GB"/>
        </w:rPr>
      </w:pPr>
      <w:r>
        <w:rPr>
          <w:lang w:val="en-GB"/>
        </w:rPr>
        <w:t xml:space="preserve"> </w:t>
      </w:r>
    </w:p>
    <w:p w:rsidR="00125EE5" w:rsidRDefault="00125EE5" w:rsidP="00283097">
      <w:pPr>
        <w:rPr>
          <w:b/>
          <w:lang w:val="en-GB"/>
        </w:rPr>
      </w:pPr>
      <w:r>
        <w:rPr>
          <w:b/>
          <w:lang w:val="en-GB"/>
        </w:rPr>
        <w:t>Responses</w:t>
      </w:r>
    </w:p>
    <w:p w:rsidR="00125EE5" w:rsidRDefault="00125EE5" w:rsidP="00283097">
      <w:pPr>
        <w:rPr>
          <w:b/>
          <w:lang w:val="en-GB"/>
        </w:rPr>
      </w:pPr>
    </w:p>
    <w:p w:rsidR="00125EE5" w:rsidRPr="00061E91" w:rsidRDefault="00125EE5" w:rsidP="00061E91">
      <w:pPr>
        <w:pStyle w:val="ListParagraph"/>
        <w:numPr>
          <w:ilvl w:val="0"/>
          <w:numId w:val="8"/>
        </w:numPr>
        <w:rPr>
          <w:lang w:val="en-GB"/>
        </w:rPr>
      </w:pPr>
      <w:r w:rsidRPr="00061E91">
        <w:rPr>
          <w:lang w:val="en-GB"/>
        </w:rPr>
        <w:t xml:space="preserve">A total of </w:t>
      </w:r>
      <w:r w:rsidR="002873B1">
        <w:rPr>
          <w:lang w:val="en-GB"/>
        </w:rPr>
        <w:t>20</w:t>
      </w:r>
      <w:r w:rsidRPr="00061E91">
        <w:rPr>
          <w:lang w:val="en-GB"/>
        </w:rPr>
        <w:t xml:space="preserve"> responses were received, as listed at </w:t>
      </w:r>
      <w:r w:rsidRPr="00061E91">
        <w:rPr>
          <w:b/>
          <w:lang w:val="en-GB"/>
        </w:rPr>
        <w:t xml:space="preserve">Annex </w:t>
      </w:r>
      <w:r w:rsidR="008A0D80">
        <w:rPr>
          <w:b/>
          <w:lang w:val="en-GB"/>
        </w:rPr>
        <w:t>A</w:t>
      </w:r>
      <w:r w:rsidRPr="00061E91">
        <w:rPr>
          <w:b/>
          <w:lang w:val="en-GB"/>
        </w:rPr>
        <w:t>.</w:t>
      </w:r>
      <w:r w:rsidRPr="00061E91">
        <w:rPr>
          <w:lang w:val="en-GB"/>
        </w:rPr>
        <w:t xml:space="preserve"> </w:t>
      </w:r>
      <w:r w:rsidR="00AC4F42">
        <w:rPr>
          <w:lang w:val="en-GB"/>
        </w:rPr>
        <w:t xml:space="preserve"> Nineteen</w:t>
      </w:r>
      <w:r w:rsidR="00061E91">
        <w:rPr>
          <w:lang w:val="en-GB"/>
        </w:rPr>
        <w:t xml:space="preserve"> responses came from </w:t>
      </w:r>
      <w:r w:rsidR="00AC4F42">
        <w:rPr>
          <w:lang w:val="en-GB"/>
        </w:rPr>
        <w:t>organisations</w:t>
      </w:r>
      <w:r w:rsidR="00061E91">
        <w:rPr>
          <w:lang w:val="en-GB"/>
        </w:rPr>
        <w:t xml:space="preserve"> and </w:t>
      </w:r>
      <w:r w:rsidR="00AC4F42">
        <w:rPr>
          <w:lang w:val="en-GB"/>
        </w:rPr>
        <w:t>one</w:t>
      </w:r>
      <w:r w:rsidR="00061E91">
        <w:rPr>
          <w:lang w:val="en-GB"/>
        </w:rPr>
        <w:t xml:space="preserve"> from</w:t>
      </w:r>
      <w:r w:rsidR="00AC4F42">
        <w:rPr>
          <w:lang w:val="en-GB"/>
        </w:rPr>
        <w:t xml:space="preserve"> an individual</w:t>
      </w:r>
      <w:r w:rsidRPr="00061E91">
        <w:rPr>
          <w:lang w:val="en-GB"/>
        </w:rPr>
        <w:t>.</w:t>
      </w:r>
    </w:p>
    <w:p w:rsidR="00125EE5" w:rsidRDefault="00125EE5" w:rsidP="00283097">
      <w:pPr>
        <w:rPr>
          <w:lang w:val="en-GB"/>
        </w:rPr>
      </w:pPr>
    </w:p>
    <w:p w:rsidR="00125EE5" w:rsidRDefault="00AC4F42" w:rsidP="009450C7">
      <w:pPr>
        <w:pStyle w:val="ListParagraph"/>
        <w:numPr>
          <w:ilvl w:val="0"/>
          <w:numId w:val="8"/>
        </w:numPr>
        <w:rPr>
          <w:lang w:val="en-GB"/>
        </w:rPr>
      </w:pPr>
      <w:r>
        <w:rPr>
          <w:lang w:val="en-GB"/>
        </w:rPr>
        <w:t>Sixteen</w:t>
      </w:r>
      <w:r w:rsidR="00125EE5" w:rsidRPr="00061E91">
        <w:rPr>
          <w:lang w:val="en-GB"/>
        </w:rPr>
        <w:t xml:space="preserve"> respondents </w:t>
      </w:r>
      <w:r w:rsidR="00BA59D9">
        <w:rPr>
          <w:lang w:val="en-GB"/>
        </w:rPr>
        <w:t>g</w:t>
      </w:r>
      <w:r w:rsidR="00125EE5" w:rsidRPr="00061E91">
        <w:rPr>
          <w:lang w:val="en-GB"/>
        </w:rPr>
        <w:t>ave permission for the</w:t>
      </w:r>
      <w:r w:rsidR="00E54A47">
        <w:rPr>
          <w:lang w:val="en-GB"/>
        </w:rPr>
        <w:t xml:space="preserve">ir response to be made public.  Published responses </w:t>
      </w:r>
      <w:r w:rsidR="00125EE5" w:rsidRPr="00061E91">
        <w:rPr>
          <w:lang w:val="en-GB"/>
        </w:rPr>
        <w:t xml:space="preserve">are available at the Scottish Government’s consultation </w:t>
      </w:r>
      <w:r w:rsidR="00E54A47">
        <w:rPr>
          <w:lang w:val="en-GB"/>
        </w:rPr>
        <w:t>web</w:t>
      </w:r>
      <w:r w:rsidR="00125EE5" w:rsidRPr="00061E91">
        <w:rPr>
          <w:lang w:val="en-GB"/>
        </w:rPr>
        <w:t xml:space="preserve">site at </w:t>
      </w:r>
      <w:hyperlink r:id="rId8" w:history="1">
        <w:r w:rsidR="009450C7" w:rsidRPr="007D40E4">
          <w:rPr>
            <w:rStyle w:val="Hyperlink"/>
          </w:rPr>
          <w:t>https://consult.scotland.gov.uk/energy-markets/renewables-obligation-exemptions/consult_view</w:t>
        </w:r>
      </w:hyperlink>
    </w:p>
    <w:p w:rsidR="00125EE5" w:rsidRDefault="00125EE5" w:rsidP="00283097">
      <w:pPr>
        <w:rPr>
          <w:lang w:val="en-GB"/>
        </w:rPr>
      </w:pPr>
    </w:p>
    <w:p w:rsidR="00125EE5" w:rsidRDefault="00125EE5" w:rsidP="00283097">
      <w:pPr>
        <w:rPr>
          <w:b/>
          <w:lang w:val="en-GB"/>
        </w:rPr>
      </w:pPr>
      <w:r>
        <w:rPr>
          <w:b/>
          <w:lang w:val="en-GB"/>
        </w:rPr>
        <w:t xml:space="preserve">Overall </w:t>
      </w:r>
      <w:r w:rsidR="00A663E4">
        <w:rPr>
          <w:b/>
          <w:lang w:val="en-GB"/>
        </w:rPr>
        <w:t>F</w:t>
      </w:r>
      <w:r>
        <w:rPr>
          <w:b/>
          <w:lang w:val="en-GB"/>
        </w:rPr>
        <w:t>indings</w:t>
      </w:r>
    </w:p>
    <w:p w:rsidR="00125EE5" w:rsidRDefault="00125EE5" w:rsidP="00283097">
      <w:pPr>
        <w:rPr>
          <w:b/>
          <w:lang w:val="en-GB"/>
        </w:rPr>
      </w:pPr>
    </w:p>
    <w:p w:rsidR="006D3C79" w:rsidRDefault="00AA5652" w:rsidP="00E9478C">
      <w:pPr>
        <w:pStyle w:val="ListParagraph"/>
        <w:numPr>
          <w:ilvl w:val="0"/>
          <w:numId w:val="8"/>
        </w:numPr>
        <w:rPr>
          <w:lang w:val="en-GB"/>
        </w:rPr>
      </w:pPr>
      <w:r>
        <w:rPr>
          <w:lang w:val="en-GB"/>
        </w:rPr>
        <w:t>Many r</w:t>
      </w:r>
      <w:r w:rsidR="00E9478C">
        <w:rPr>
          <w:lang w:val="en-GB"/>
        </w:rPr>
        <w:t>espondents indicated</w:t>
      </w:r>
      <w:r w:rsidR="00AC4F42">
        <w:rPr>
          <w:lang w:val="en-GB"/>
        </w:rPr>
        <w:t xml:space="preserve"> </w:t>
      </w:r>
      <w:r w:rsidR="00E9478C">
        <w:rPr>
          <w:lang w:val="en-GB"/>
        </w:rPr>
        <w:t xml:space="preserve">support for the proposal to </w:t>
      </w:r>
      <w:r w:rsidR="00AC4F42">
        <w:rPr>
          <w:lang w:val="en-GB"/>
        </w:rPr>
        <w:t xml:space="preserve">transition to an exemption scheme in the same manner as </w:t>
      </w:r>
      <w:proofErr w:type="spellStart"/>
      <w:r w:rsidR="00AC4F42">
        <w:rPr>
          <w:lang w:val="en-GB"/>
        </w:rPr>
        <w:t>DECC</w:t>
      </w:r>
      <w:proofErr w:type="spellEnd"/>
      <w:r w:rsidR="00656EC1">
        <w:rPr>
          <w:lang w:val="en-GB"/>
        </w:rPr>
        <w:t>.</w:t>
      </w:r>
      <w:r w:rsidR="008A0D80">
        <w:rPr>
          <w:lang w:val="en-GB"/>
        </w:rPr>
        <w:t xml:space="preserve"> </w:t>
      </w:r>
      <w:r w:rsidR="00AC4F42">
        <w:rPr>
          <w:lang w:val="en-GB"/>
        </w:rPr>
        <w:t xml:space="preserve"> </w:t>
      </w:r>
      <w:r>
        <w:rPr>
          <w:lang w:val="en-GB"/>
        </w:rPr>
        <w:t xml:space="preserve">However, some </w:t>
      </w:r>
      <w:r w:rsidR="00AC4F42">
        <w:rPr>
          <w:lang w:val="en-GB"/>
        </w:rPr>
        <w:t>respondent</w:t>
      </w:r>
      <w:r>
        <w:rPr>
          <w:lang w:val="en-GB"/>
        </w:rPr>
        <w:t>s</w:t>
      </w:r>
      <w:r w:rsidR="00AC4F42">
        <w:rPr>
          <w:lang w:val="en-GB"/>
        </w:rPr>
        <w:t xml:space="preserve"> disagreed with this.</w:t>
      </w:r>
      <w:r w:rsidR="008A0D80">
        <w:rPr>
          <w:lang w:val="en-GB"/>
        </w:rPr>
        <w:t xml:space="preserve"> </w:t>
      </w:r>
      <w:r w:rsidR="00F806AA">
        <w:rPr>
          <w:lang w:val="en-GB"/>
        </w:rPr>
        <w:t xml:space="preserve">A summary of responses to </w:t>
      </w:r>
      <w:r w:rsidR="00E66CB8">
        <w:rPr>
          <w:lang w:val="en-GB"/>
        </w:rPr>
        <w:t>the key issue</w:t>
      </w:r>
      <w:r w:rsidR="00F806AA">
        <w:rPr>
          <w:lang w:val="en-GB"/>
        </w:rPr>
        <w:t xml:space="preserve"> can be found </w:t>
      </w:r>
      <w:r w:rsidR="001C6DC2">
        <w:rPr>
          <w:lang w:val="en-GB"/>
        </w:rPr>
        <w:t xml:space="preserve">at </w:t>
      </w:r>
      <w:r w:rsidR="001C6DC2" w:rsidRPr="009E1065">
        <w:rPr>
          <w:b/>
          <w:lang w:val="en-GB"/>
        </w:rPr>
        <w:t xml:space="preserve">Annex </w:t>
      </w:r>
      <w:r w:rsidR="008A0D80">
        <w:rPr>
          <w:b/>
          <w:lang w:val="en-GB"/>
        </w:rPr>
        <w:t>B</w:t>
      </w:r>
      <w:r w:rsidR="00F806AA">
        <w:rPr>
          <w:lang w:val="en-GB"/>
        </w:rPr>
        <w:t>.</w:t>
      </w:r>
    </w:p>
    <w:p w:rsidR="00E9478C" w:rsidRPr="00E9478C" w:rsidRDefault="00E9478C" w:rsidP="00E9478C">
      <w:pPr>
        <w:pStyle w:val="ListParagraph"/>
        <w:ind w:left="360"/>
        <w:rPr>
          <w:lang w:val="en-GB"/>
        </w:rPr>
      </w:pPr>
    </w:p>
    <w:p w:rsidR="006D3C79" w:rsidRDefault="006D3C79" w:rsidP="00283097">
      <w:pPr>
        <w:rPr>
          <w:b/>
          <w:lang w:val="en-GB"/>
        </w:rPr>
      </w:pPr>
      <w:r>
        <w:rPr>
          <w:b/>
          <w:lang w:val="en-GB"/>
        </w:rPr>
        <w:t>Next Steps</w:t>
      </w:r>
    </w:p>
    <w:p w:rsidR="006D3C79" w:rsidRDefault="006D3C79" w:rsidP="00283097">
      <w:pPr>
        <w:rPr>
          <w:b/>
          <w:lang w:val="en-GB"/>
        </w:rPr>
      </w:pPr>
    </w:p>
    <w:p w:rsidR="00D476FF" w:rsidRDefault="00BE78C0" w:rsidP="00A32338">
      <w:pPr>
        <w:pStyle w:val="ListParagraph"/>
        <w:numPr>
          <w:ilvl w:val="0"/>
          <w:numId w:val="8"/>
        </w:numPr>
        <w:rPr>
          <w:b/>
          <w:lang w:val="en-GB"/>
        </w:rPr>
      </w:pPr>
      <w:r>
        <w:rPr>
          <w:lang w:val="en-GB"/>
        </w:rPr>
        <w:t xml:space="preserve">We would like to thank all respondents for taking the time </w:t>
      </w:r>
      <w:r w:rsidR="00A32338">
        <w:rPr>
          <w:lang w:val="en-GB"/>
        </w:rPr>
        <w:t>to reply to this consultation.</w:t>
      </w:r>
      <w:r w:rsidR="00D254E0">
        <w:rPr>
          <w:lang w:val="en-GB"/>
        </w:rPr>
        <w:t xml:space="preserve"> We will publish a </w:t>
      </w:r>
      <w:r w:rsidR="00D254E0" w:rsidRPr="00D254E0">
        <w:rPr>
          <w:lang w:val="en-GB"/>
        </w:rPr>
        <w:t>Scottish Government</w:t>
      </w:r>
      <w:r w:rsidR="00D254E0">
        <w:rPr>
          <w:lang w:val="en-GB"/>
        </w:rPr>
        <w:t xml:space="preserve"> response in due course.</w:t>
      </w:r>
    </w:p>
    <w:p w:rsidR="00B407EF" w:rsidRDefault="00B407EF" w:rsidP="00B407EF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lang w:val="en-GB"/>
        </w:rPr>
      </w:pPr>
    </w:p>
    <w:p w:rsidR="00FE112B" w:rsidRDefault="00B407EF" w:rsidP="008F425D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b/>
          <w:lang w:val="en-GB"/>
        </w:rPr>
      </w:pPr>
      <w:r>
        <w:rPr>
          <w:lang w:val="en-GB"/>
        </w:rPr>
        <w:t>Scottish Government</w:t>
      </w:r>
      <w:r w:rsidR="00FE112B">
        <w:rPr>
          <w:b/>
          <w:lang w:val="en-GB"/>
        </w:rPr>
        <w:t xml:space="preserve"> </w:t>
      </w:r>
    </w:p>
    <w:p w:rsidR="008F425D" w:rsidRPr="00FE112B" w:rsidRDefault="00A663E4" w:rsidP="008F425D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b/>
          <w:lang w:val="en-GB"/>
        </w:rPr>
      </w:pPr>
      <w:r>
        <w:rPr>
          <w:lang w:val="en-GB"/>
        </w:rPr>
        <w:t>Energy Division</w:t>
      </w:r>
    </w:p>
    <w:p w:rsidR="00B407EF" w:rsidRPr="00B407EF" w:rsidRDefault="00A663E4" w:rsidP="00B407EF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b/>
          <w:lang w:val="en-GB"/>
        </w:rPr>
      </w:pPr>
      <w:r w:rsidRPr="00E66CB8">
        <w:rPr>
          <w:lang w:val="en-GB"/>
        </w:rPr>
        <w:t>1</w:t>
      </w:r>
      <w:r w:rsidR="00E66CB8">
        <w:rPr>
          <w:lang w:val="en-GB"/>
        </w:rPr>
        <w:t>4</w:t>
      </w:r>
      <w:r w:rsidR="00B407EF" w:rsidRPr="00E66CB8">
        <w:rPr>
          <w:lang w:val="en-GB"/>
        </w:rPr>
        <w:t xml:space="preserve"> J</w:t>
      </w:r>
      <w:r w:rsidRPr="00E66CB8">
        <w:rPr>
          <w:lang w:val="en-GB"/>
        </w:rPr>
        <w:t>ul</w:t>
      </w:r>
      <w:r w:rsidR="00B407EF" w:rsidRPr="00E66CB8">
        <w:rPr>
          <w:lang w:val="en-GB"/>
        </w:rPr>
        <w:t>y 2016</w:t>
      </w:r>
    </w:p>
    <w:p w:rsidR="001C6DC2" w:rsidRDefault="00B407EF" w:rsidP="00A32338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b/>
          <w:lang w:val="en-GB"/>
        </w:rPr>
      </w:pPr>
      <w:r>
        <w:rPr>
          <w:b/>
          <w:lang w:val="en-GB"/>
        </w:rPr>
        <w:br w:type="page"/>
      </w:r>
      <w:r w:rsidR="008A0D80">
        <w:rPr>
          <w:b/>
          <w:lang w:val="en-GB"/>
        </w:rPr>
        <w:lastRenderedPageBreak/>
        <w:t>ANNEX A</w:t>
      </w:r>
    </w:p>
    <w:p w:rsidR="00FA5189" w:rsidRDefault="00962159" w:rsidP="00FA5189">
      <w:pPr>
        <w:rPr>
          <w:b/>
          <w:lang w:val="en-GB"/>
        </w:rPr>
      </w:pPr>
      <w:r>
        <w:rPr>
          <w:b/>
          <w:lang w:val="en-GB"/>
        </w:rPr>
        <w:t>List of Consultation Respondents</w:t>
      </w:r>
    </w:p>
    <w:p w:rsidR="00962159" w:rsidRDefault="00962159" w:rsidP="00FA5189">
      <w:pPr>
        <w:rPr>
          <w:b/>
          <w:lang w:val="en-GB"/>
        </w:rPr>
      </w:pPr>
    </w:p>
    <w:p w:rsidR="00D53172" w:rsidRDefault="00D53172" w:rsidP="00FA5189">
      <w:pPr>
        <w:rPr>
          <w:b/>
          <w:u w:val="single"/>
          <w:lang w:val="en-GB"/>
        </w:rPr>
      </w:pPr>
      <w:r>
        <w:rPr>
          <w:b/>
          <w:u w:val="single"/>
          <w:lang w:val="en-GB"/>
        </w:rPr>
        <w:t>Organisations</w:t>
      </w:r>
    </w:p>
    <w:p w:rsidR="00A663E4" w:rsidRDefault="00A663E4" w:rsidP="00FA5189">
      <w:pPr>
        <w:rPr>
          <w:lang w:val="en-GB"/>
        </w:rPr>
      </w:pPr>
      <w:r>
        <w:rPr>
          <w:lang w:val="en-GB"/>
        </w:rPr>
        <w:t>British Ceramic Confederation</w:t>
      </w:r>
    </w:p>
    <w:p w:rsidR="00A663E4" w:rsidRDefault="00A663E4" w:rsidP="00FA5189">
      <w:pPr>
        <w:rPr>
          <w:lang w:val="en-GB"/>
        </w:rPr>
      </w:pPr>
      <w:r>
        <w:rPr>
          <w:lang w:val="en-GB"/>
        </w:rPr>
        <w:t>British Glass Manufacturers Confederation</w:t>
      </w:r>
    </w:p>
    <w:p w:rsidR="00A663E4" w:rsidRDefault="00A663E4" w:rsidP="00FA5189">
      <w:pPr>
        <w:rPr>
          <w:lang w:val="en-GB"/>
        </w:rPr>
      </w:pPr>
      <w:r>
        <w:rPr>
          <w:lang w:val="en-GB"/>
        </w:rPr>
        <w:t>Confederation of Paper Industries</w:t>
      </w:r>
    </w:p>
    <w:p w:rsidR="00A663E4" w:rsidRDefault="00A663E4" w:rsidP="00FA5189">
      <w:pPr>
        <w:rPr>
          <w:lang w:val="en-GB"/>
        </w:rPr>
      </w:pPr>
      <w:proofErr w:type="spellStart"/>
      <w:r>
        <w:rPr>
          <w:lang w:val="en-GB"/>
        </w:rPr>
        <w:t>EDF</w:t>
      </w:r>
      <w:proofErr w:type="spellEnd"/>
      <w:r>
        <w:rPr>
          <w:lang w:val="en-GB"/>
        </w:rPr>
        <w:t xml:space="preserve"> Energy</w:t>
      </w:r>
    </w:p>
    <w:p w:rsidR="00A663E4" w:rsidRDefault="00A663E4" w:rsidP="00FA5189">
      <w:pPr>
        <w:rPr>
          <w:lang w:val="en-GB"/>
        </w:rPr>
      </w:pPr>
      <w:r>
        <w:rPr>
          <w:lang w:val="en-GB"/>
        </w:rPr>
        <w:t>Energy Intensive Users Group</w:t>
      </w:r>
    </w:p>
    <w:p w:rsidR="00A663E4" w:rsidRDefault="00A663E4" w:rsidP="00FA5189">
      <w:pPr>
        <w:rPr>
          <w:lang w:val="en-GB"/>
        </w:rPr>
      </w:pPr>
      <w:r>
        <w:rPr>
          <w:lang w:val="en-GB"/>
        </w:rPr>
        <w:t>Haven Power Ltd</w:t>
      </w:r>
    </w:p>
    <w:p w:rsidR="00E23E9A" w:rsidRDefault="00E23E9A" w:rsidP="00FA5189">
      <w:pPr>
        <w:rPr>
          <w:lang w:val="en-GB"/>
        </w:rPr>
      </w:pPr>
      <w:r>
        <w:rPr>
          <w:lang w:val="en-GB"/>
        </w:rPr>
        <w:t>Mineral Products Association</w:t>
      </w:r>
    </w:p>
    <w:p w:rsidR="00E23E9A" w:rsidRDefault="00E23E9A" w:rsidP="00FA5189">
      <w:pPr>
        <w:rPr>
          <w:lang w:val="en-GB"/>
        </w:rPr>
      </w:pPr>
      <w:r>
        <w:rPr>
          <w:lang w:val="en-GB"/>
        </w:rPr>
        <w:t>Scottish Power</w:t>
      </w:r>
    </w:p>
    <w:p w:rsidR="00E23E9A" w:rsidRDefault="00E23E9A" w:rsidP="00FA5189">
      <w:pPr>
        <w:rPr>
          <w:lang w:val="en-GB"/>
        </w:rPr>
      </w:pPr>
      <w:r>
        <w:rPr>
          <w:lang w:val="en-GB"/>
        </w:rPr>
        <w:t>SSE</w:t>
      </w:r>
    </w:p>
    <w:p w:rsidR="00E23E9A" w:rsidRPr="00A663E4" w:rsidRDefault="00E23E9A" w:rsidP="00FA5189">
      <w:pPr>
        <w:rPr>
          <w:lang w:val="en-GB"/>
        </w:rPr>
      </w:pPr>
      <w:r>
        <w:rPr>
          <w:lang w:val="en-GB"/>
        </w:rPr>
        <w:t>The Scotch Whisky Association</w:t>
      </w:r>
    </w:p>
    <w:p w:rsidR="00A663E4" w:rsidRDefault="00A663E4" w:rsidP="00FA5189">
      <w:pPr>
        <w:rPr>
          <w:i/>
          <w:lang w:val="en-GB"/>
        </w:rPr>
      </w:pPr>
      <w:r>
        <w:rPr>
          <w:i/>
          <w:lang w:val="en-GB"/>
        </w:rPr>
        <w:t>(plus nine anonymous responses)</w:t>
      </w:r>
    </w:p>
    <w:p w:rsidR="00A663E4" w:rsidRDefault="00A663E4" w:rsidP="00FA5189">
      <w:pPr>
        <w:rPr>
          <w:i/>
          <w:lang w:val="en-GB"/>
        </w:rPr>
      </w:pPr>
    </w:p>
    <w:p w:rsidR="00A663E4" w:rsidRDefault="00A663E4" w:rsidP="00A663E4">
      <w:pPr>
        <w:rPr>
          <w:b/>
          <w:u w:val="single"/>
          <w:lang w:val="en-GB"/>
        </w:rPr>
      </w:pPr>
      <w:r>
        <w:rPr>
          <w:b/>
          <w:u w:val="single"/>
          <w:lang w:val="en-GB"/>
        </w:rPr>
        <w:t>Individuals</w:t>
      </w:r>
    </w:p>
    <w:p w:rsidR="00A663E4" w:rsidRPr="00A663E4" w:rsidRDefault="00A663E4" w:rsidP="00A663E4">
      <w:pPr>
        <w:rPr>
          <w:i/>
          <w:lang w:val="en-GB"/>
        </w:rPr>
      </w:pPr>
      <w:r>
        <w:rPr>
          <w:lang w:val="en-GB"/>
        </w:rPr>
        <w:t>Anthony Buxton</w:t>
      </w:r>
    </w:p>
    <w:p w:rsidR="008A0D80" w:rsidRDefault="008A0D8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lang w:val="en-GB"/>
        </w:rPr>
      </w:pPr>
      <w:r>
        <w:rPr>
          <w:lang w:val="en-GB"/>
        </w:rPr>
        <w:br w:type="page"/>
      </w:r>
    </w:p>
    <w:p w:rsidR="008A0D80" w:rsidRDefault="008A0D80" w:rsidP="008A0D80">
      <w:pPr>
        <w:jc w:val="right"/>
        <w:rPr>
          <w:b/>
          <w:lang w:val="en-GB"/>
        </w:rPr>
      </w:pPr>
      <w:r>
        <w:rPr>
          <w:b/>
          <w:lang w:val="en-GB"/>
        </w:rPr>
        <w:lastRenderedPageBreak/>
        <w:t>ANNEX B</w:t>
      </w:r>
    </w:p>
    <w:p w:rsidR="008A0D80" w:rsidRDefault="008A0D80" w:rsidP="008A0D80">
      <w:pPr>
        <w:rPr>
          <w:b/>
          <w:lang w:val="en-GB"/>
        </w:rPr>
      </w:pPr>
      <w:r>
        <w:rPr>
          <w:b/>
          <w:lang w:val="en-GB"/>
        </w:rPr>
        <w:t>Summary of questions and analysis of responses</w:t>
      </w:r>
    </w:p>
    <w:p w:rsidR="008A0D80" w:rsidRDefault="008A0D80" w:rsidP="008A0D80">
      <w:pPr>
        <w:rPr>
          <w:b/>
          <w:lang w:val="en-GB"/>
        </w:rPr>
      </w:pPr>
    </w:p>
    <w:p w:rsidR="008A0D80" w:rsidRDefault="008A0D80" w:rsidP="008A0D80">
      <w:pPr>
        <w:rPr>
          <w:b/>
          <w:lang w:val="en-GB"/>
        </w:rPr>
      </w:pPr>
      <w:r w:rsidRPr="00061E91">
        <w:rPr>
          <w:b/>
          <w:lang w:val="en-GB"/>
        </w:rPr>
        <w:t xml:space="preserve">1. </w:t>
      </w:r>
      <w:r w:rsidR="00E23E9A" w:rsidRPr="00E23E9A">
        <w:rPr>
          <w:b/>
          <w:lang w:val="en-GB"/>
        </w:rPr>
        <w:t xml:space="preserve">We would like to hear and receive the views of </w:t>
      </w:r>
      <w:proofErr w:type="spellStart"/>
      <w:r w:rsidR="00E23E9A" w:rsidRPr="00E23E9A">
        <w:rPr>
          <w:b/>
          <w:lang w:val="en-GB"/>
        </w:rPr>
        <w:t>consultees</w:t>
      </w:r>
      <w:proofErr w:type="spellEnd"/>
      <w:r w:rsidR="00E23E9A" w:rsidRPr="00E23E9A">
        <w:rPr>
          <w:b/>
          <w:lang w:val="en-GB"/>
        </w:rPr>
        <w:t xml:space="preserve"> on the decisions in relation to implementing the exemption for </w:t>
      </w:r>
      <w:proofErr w:type="spellStart"/>
      <w:r w:rsidR="00E23E9A" w:rsidRPr="00E23E9A">
        <w:rPr>
          <w:b/>
          <w:lang w:val="en-GB"/>
        </w:rPr>
        <w:t>EIIs</w:t>
      </w:r>
      <w:proofErr w:type="spellEnd"/>
      <w:r w:rsidR="00E23E9A" w:rsidRPr="00E23E9A">
        <w:rPr>
          <w:b/>
          <w:lang w:val="en-GB"/>
        </w:rPr>
        <w:t xml:space="preserve"> as a consequence of the UK Government’s proposals, as they relate to the RO Scotland.</w:t>
      </w:r>
    </w:p>
    <w:p w:rsidR="008A0D80" w:rsidRDefault="008A0D80" w:rsidP="008A0D80">
      <w:pPr>
        <w:rPr>
          <w:b/>
          <w:lang w:val="en-GB"/>
        </w:rPr>
      </w:pPr>
    </w:p>
    <w:p w:rsidR="00AA5652" w:rsidRPr="00AA5652" w:rsidRDefault="00AA5652" w:rsidP="00AA5652">
      <w:pPr>
        <w:rPr>
          <w:lang w:val="en-GB"/>
        </w:rPr>
      </w:pPr>
      <w:r w:rsidRPr="00AA5652">
        <w:rPr>
          <w:lang w:val="en-GB"/>
        </w:rPr>
        <w:t>Ten respondents indicated that they were in favour of transitioning to an exemption scheme</w:t>
      </w:r>
      <w:r>
        <w:rPr>
          <w:lang w:val="en-GB"/>
        </w:rPr>
        <w:t>,</w:t>
      </w:r>
      <w:r w:rsidRPr="00AA5652">
        <w:rPr>
          <w:lang w:val="en-GB"/>
        </w:rPr>
        <w:t xml:space="preserve"> with most noting that it will provide</w:t>
      </w:r>
      <w:r>
        <w:rPr>
          <w:lang w:val="en-GB"/>
        </w:rPr>
        <w:t xml:space="preserve"> energy intensive businesses with greater certainty of support in future as well as providing </w:t>
      </w:r>
      <w:r w:rsidRPr="00AA5652">
        <w:rPr>
          <w:lang w:val="en-GB"/>
        </w:rPr>
        <w:t>qu</w:t>
      </w:r>
      <w:r>
        <w:rPr>
          <w:lang w:val="en-GB"/>
        </w:rPr>
        <w:t>icker and more accurate support.</w:t>
      </w:r>
    </w:p>
    <w:p w:rsidR="00AA5652" w:rsidRPr="00AA5652" w:rsidRDefault="00AA5652" w:rsidP="00AA5652">
      <w:pPr>
        <w:rPr>
          <w:lang w:val="en-GB"/>
        </w:rPr>
      </w:pPr>
    </w:p>
    <w:p w:rsidR="00AA5652" w:rsidRDefault="00AA5652" w:rsidP="00AA5652">
      <w:pPr>
        <w:rPr>
          <w:lang w:val="en-GB"/>
        </w:rPr>
      </w:pPr>
      <w:r w:rsidRPr="00AA5652">
        <w:rPr>
          <w:lang w:val="en-GB"/>
        </w:rPr>
        <w:t xml:space="preserve">Five respondents stated that they opposed the transition to an exemption scheme, with reasons including the increased costs to non-eligible </w:t>
      </w:r>
      <w:proofErr w:type="spellStart"/>
      <w:r w:rsidRPr="00AA5652">
        <w:rPr>
          <w:lang w:val="en-GB"/>
        </w:rPr>
        <w:t>EIIs</w:t>
      </w:r>
      <w:proofErr w:type="spellEnd"/>
      <w:r w:rsidRPr="00AA5652">
        <w:rPr>
          <w:lang w:val="en-GB"/>
        </w:rPr>
        <w:t xml:space="preserve"> and the impact on fuel poor households.</w:t>
      </w:r>
    </w:p>
    <w:p w:rsidR="00AA5652" w:rsidRDefault="00AA5652" w:rsidP="00AA5652">
      <w:pPr>
        <w:rPr>
          <w:lang w:val="en-GB"/>
        </w:rPr>
      </w:pPr>
    </w:p>
    <w:p w:rsidR="00AA5652" w:rsidRDefault="00AA5652" w:rsidP="00AA5652">
      <w:pPr>
        <w:rPr>
          <w:lang w:val="en-GB"/>
        </w:rPr>
      </w:pPr>
      <w:r>
        <w:rPr>
          <w:lang w:val="en-GB"/>
        </w:rPr>
        <w:t>Five stakeholders did not comment on the consultation key issue but rather raised related issues.</w:t>
      </w:r>
    </w:p>
    <w:p w:rsidR="00AA5652" w:rsidRDefault="00AA5652" w:rsidP="008A0D80">
      <w:pPr>
        <w:rPr>
          <w:lang w:val="en-GB"/>
        </w:rPr>
      </w:pPr>
    </w:p>
    <w:p w:rsidR="008A0D80" w:rsidRPr="009450C7" w:rsidRDefault="00081427" w:rsidP="008A0D80">
      <w:pPr>
        <w:rPr>
          <w:lang w:val="en-GB"/>
        </w:rPr>
      </w:pPr>
      <w:r w:rsidRPr="00081427">
        <w:rPr>
          <w:lang w:val="en-GB"/>
        </w:rPr>
        <w:t xml:space="preserve">It should be noted that four </w:t>
      </w:r>
      <w:r>
        <w:rPr>
          <w:lang w:val="en-GB"/>
        </w:rPr>
        <w:t>stakeholders</w:t>
      </w:r>
      <w:r w:rsidRPr="00081427">
        <w:rPr>
          <w:lang w:val="en-GB"/>
        </w:rPr>
        <w:t xml:space="preserve"> who did not express support for the transition did so in acknowledgement that it was likely to </w:t>
      </w:r>
      <w:r>
        <w:rPr>
          <w:lang w:val="en-GB"/>
        </w:rPr>
        <w:t>be adopted by the UK Government. S</w:t>
      </w:r>
      <w:r w:rsidR="00AA5652">
        <w:rPr>
          <w:lang w:val="en-GB"/>
        </w:rPr>
        <w:t>hould UK Government implement an exemption scheme, t</w:t>
      </w:r>
      <w:r w:rsidR="009450C7" w:rsidRPr="009450C7">
        <w:rPr>
          <w:lang w:val="en-GB"/>
        </w:rPr>
        <w:t>hirteen</w:t>
      </w:r>
      <w:r w:rsidR="008A0D80" w:rsidRPr="009450C7">
        <w:rPr>
          <w:lang w:val="en-GB"/>
        </w:rPr>
        <w:t xml:space="preserve"> </w:t>
      </w:r>
      <w:r w:rsidR="009450C7" w:rsidRPr="009450C7">
        <w:rPr>
          <w:lang w:val="en-GB"/>
        </w:rPr>
        <w:t>respondents</w:t>
      </w:r>
      <w:r w:rsidR="008A0D80" w:rsidRPr="009450C7">
        <w:rPr>
          <w:lang w:val="en-GB"/>
        </w:rPr>
        <w:t xml:space="preserve"> </w:t>
      </w:r>
      <w:r w:rsidR="00B42F2F">
        <w:rPr>
          <w:lang w:val="en-GB"/>
        </w:rPr>
        <w:t>argued</w:t>
      </w:r>
      <w:r w:rsidR="009450C7" w:rsidRPr="009450C7">
        <w:rPr>
          <w:lang w:val="en-GB"/>
        </w:rPr>
        <w:t xml:space="preserve"> that Scottish Government </w:t>
      </w:r>
      <w:r>
        <w:rPr>
          <w:lang w:val="en-GB"/>
        </w:rPr>
        <w:t>should do so uniformly</w:t>
      </w:r>
      <w:r w:rsidR="009450C7" w:rsidRPr="009450C7">
        <w:rPr>
          <w:lang w:val="en-GB"/>
        </w:rPr>
        <w:t>.</w:t>
      </w:r>
      <w:r w:rsidR="008A0D80" w:rsidRPr="009450C7">
        <w:rPr>
          <w:lang w:val="en-GB"/>
        </w:rPr>
        <w:t xml:space="preserve"> </w:t>
      </w:r>
      <w:r w:rsidR="009450C7" w:rsidRPr="009450C7">
        <w:rPr>
          <w:lang w:val="en-GB"/>
        </w:rPr>
        <w:t xml:space="preserve"> </w:t>
      </w:r>
      <w:r w:rsidR="008A0D80" w:rsidRPr="009450C7">
        <w:rPr>
          <w:lang w:val="en-GB"/>
        </w:rPr>
        <w:t xml:space="preserve">Many respondents </w:t>
      </w:r>
      <w:r>
        <w:rPr>
          <w:lang w:val="en-GB"/>
        </w:rPr>
        <w:t>argu</w:t>
      </w:r>
      <w:r w:rsidR="008A0D80" w:rsidRPr="009450C7">
        <w:rPr>
          <w:lang w:val="en-GB"/>
        </w:rPr>
        <w:t xml:space="preserve">ed </w:t>
      </w:r>
      <w:r w:rsidR="009450C7" w:rsidRPr="009450C7">
        <w:rPr>
          <w:lang w:val="en-GB"/>
        </w:rPr>
        <w:t>that this would allow for the scheme to work as simply as possible throughout GB.</w:t>
      </w:r>
    </w:p>
    <w:p w:rsidR="008A0D80" w:rsidRPr="009450C7" w:rsidRDefault="008A0D80" w:rsidP="008A0D80">
      <w:pPr>
        <w:rPr>
          <w:lang w:val="en-GB"/>
        </w:rPr>
      </w:pPr>
    </w:p>
    <w:p w:rsidR="00E66CB8" w:rsidRDefault="009450C7" w:rsidP="008A0D80">
      <w:pPr>
        <w:rPr>
          <w:lang w:val="en-GB"/>
        </w:rPr>
      </w:pPr>
      <w:r w:rsidRPr="009450C7">
        <w:rPr>
          <w:lang w:val="en-GB"/>
        </w:rPr>
        <w:t>Only one party disagreed with this notion, stating that, in the event of a</w:t>
      </w:r>
      <w:r w:rsidR="00E66CB8">
        <w:rPr>
          <w:lang w:val="en-GB"/>
        </w:rPr>
        <w:t>ny</w:t>
      </w:r>
      <w:r w:rsidRPr="009450C7">
        <w:rPr>
          <w:lang w:val="en-GB"/>
        </w:rPr>
        <w:t xml:space="preserve"> delay </w:t>
      </w:r>
      <w:r w:rsidR="00E66CB8">
        <w:rPr>
          <w:lang w:val="en-GB"/>
        </w:rPr>
        <w:t>to</w:t>
      </w:r>
      <w:r w:rsidRPr="009450C7">
        <w:rPr>
          <w:lang w:val="en-GB"/>
        </w:rPr>
        <w:t xml:space="preserve"> </w:t>
      </w:r>
      <w:r w:rsidR="00E66CB8">
        <w:rPr>
          <w:lang w:val="en-GB"/>
        </w:rPr>
        <w:t xml:space="preserve">the </w:t>
      </w:r>
      <w:r w:rsidRPr="009450C7">
        <w:rPr>
          <w:lang w:val="en-GB"/>
        </w:rPr>
        <w:t xml:space="preserve">UK Government’s </w:t>
      </w:r>
      <w:r w:rsidR="00E66CB8">
        <w:rPr>
          <w:lang w:val="en-GB"/>
        </w:rPr>
        <w:t>implementation</w:t>
      </w:r>
      <w:r w:rsidRPr="009450C7">
        <w:rPr>
          <w:lang w:val="en-GB"/>
        </w:rPr>
        <w:t>, Scottish Government should implement the exemption at 1 April 2017 or as soon as possible thereafter.</w:t>
      </w:r>
    </w:p>
    <w:p w:rsidR="00E66CB8" w:rsidRDefault="00E66CB8" w:rsidP="008A0D80">
      <w:pPr>
        <w:rPr>
          <w:lang w:val="en-GB"/>
        </w:rPr>
      </w:pPr>
    </w:p>
    <w:p w:rsidR="00E66CB8" w:rsidRPr="00E23E9A" w:rsidRDefault="00E66CB8" w:rsidP="008A0D80">
      <w:pPr>
        <w:rPr>
          <w:lang w:val="en-GB"/>
        </w:rPr>
      </w:pPr>
      <w:r>
        <w:rPr>
          <w:lang w:val="en-GB"/>
        </w:rPr>
        <w:t>In the course of th</w:t>
      </w:r>
      <w:r w:rsidR="00887505">
        <w:rPr>
          <w:lang w:val="en-GB"/>
        </w:rPr>
        <w:t xml:space="preserve">eir responses, stakeholders discussed a number of related issues. These included assessments of the impact on non-eligible </w:t>
      </w:r>
      <w:proofErr w:type="spellStart"/>
      <w:r w:rsidR="00887505">
        <w:rPr>
          <w:lang w:val="en-GB"/>
        </w:rPr>
        <w:t>EIIs</w:t>
      </w:r>
      <w:proofErr w:type="spellEnd"/>
      <w:r w:rsidR="00887505">
        <w:rPr>
          <w:lang w:val="en-GB"/>
        </w:rPr>
        <w:t>, the proposal not to regulate suppliers to pass on the benefit of the exemption and the impact of additional costs to households, particularly those in fuel poverty.</w:t>
      </w:r>
    </w:p>
    <w:sectPr w:rsidR="00E66CB8" w:rsidRPr="00E23E9A" w:rsidSect="00AB54FF">
      <w:headerReference w:type="default" r:id="rId9"/>
      <w:footerReference w:type="default" r:id="rId10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32E" w:rsidRDefault="00FE432E">
      <w:pPr>
        <w:spacing w:line="240" w:lineRule="auto"/>
      </w:pPr>
      <w:r>
        <w:separator/>
      </w:r>
    </w:p>
  </w:endnote>
  <w:endnote w:type="continuationSeparator" w:id="0">
    <w:p w:rsidR="00FE432E" w:rsidRDefault="00FE43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60181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6CB8" w:rsidRDefault="00E66C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46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6CB8" w:rsidRPr="0067486A" w:rsidRDefault="00E66CB8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32E" w:rsidRDefault="00FE432E">
      <w:pPr>
        <w:spacing w:line="240" w:lineRule="auto"/>
      </w:pPr>
      <w:r>
        <w:separator/>
      </w:r>
    </w:p>
  </w:footnote>
  <w:footnote w:type="continuationSeparator" w:id="0">
    <w:p w:rsidR="00FE432E" w:rsidRDefault="00FE43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CB8" w:rsidRPr="0067486A" w:rsidRDefault="00E66CB8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06B61F79"/>
    <w:multiLevelType w:val="hybridMultilevel"/>
    <w:tmpl w:val="2884D4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C07AE"/>
    <w:multiLevelType w:val="hybridMultilevel"/>
    <w:tmpl w:val="90F8D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61772"/>
    <w:multiLevelType w:val="hybridMultilevel"/>
    <w:tmpl w:val="6BA06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011122"/>
    <w:multiLevelType w:val="hybridMultilevel"/>
    <w:tmpl w:val="F4BC8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9D24107"/>
    <w:multiLevelType w:val="hybridMultilevel"/>
    <w:tmpl w:val="2DAA3B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0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7ED"/>
    <w:rsid w:val="00007E0A"/>
    <w:rsid w:val="00060453"/>
    <w:rsid w:val="00061E91"/>
    <w:rsid w:val="0006566E"/>
    <w:rsid w:val="00081427"/>
    <w:rsid w:val="000A641B"/>
    <w:rsid w:val="000C2170"/>
    <w:rsid w:val="00100021"/>
    <w:rsid w:val="00101BF9"/>
    <w:rsid w:val="001058DF"/>
    <w:rsid w:val="00125EE5"/>
    <w:rsid w:val="001267F7"/>
    <w:rsid w:val="00141B9F"/>
    <w:rsid w:val="00146EDE"/>
    <w:rsid w:val="00157346"/>
    <w:rsid w:val="00192DC7"/>
    <w:rsid w:val="001C6DC2"/>
    <w:rsid w:val="001D563E"/>
    <w:rsid w:val="001D5E3E"/>
    <w:rsid w:val="001E7105"/>
    <w:rsid w:val="00213BC0"/>
    <w:rsid w:val="00224A9F"/>
    <w:rsid w:val="002336E8"/>
    <w:rsid w:val="00237FE1"/>
    <w:rsid w:val="0027014C"/>
    <w:rsid w:val="00283097"/>
    <w:rsid w:val="002873B1"/>
    <w:rsid w:val="002D0B8D"/>
    <w:rsid w:val="002F3688"/>
    <w:rsid w:val="002F3AB1"/>
    <w:rsid w:val="0033274A"/>
    <w:rsid w:val="003331A9"/>
    <w:rsid w:val="00342955"/>
    <w:rsid w:val="00343E50"/>
    <w:rsid w:val="00354B46"/>
    <w:rsid w:val="00374BB6"/>
    <w:rsid w:val="003A3249"/>
    <w:rsid w:val="003E2605"/>
    <w:rsid w:val="003F2479"/>
    <w:rsid w:val="00411F08"/>
    <w:rsid w:val="00411FC4"/>
    <w:rsid w:val="00416263"/>
    <w:rsid w:val="00443833"/>
    <w:rsid w:val="004D276C"/>
    <w:rsid w:val="00525F3B"/>
    <w:rsid w:val="00581A73"/>
    <w:rsid w:val="005D3A91"/>
    <w:rsid w:val="0060738D"/>
    <w:rsid w:val="00656EC1"/>
    <w:rsid w:val="00671460"/>
    <w:rsid w:val="006733E8"/>
    <w:rsid w:val="0067486A"/>
    <w:rsid w:val="0068472F"/>
    <w:rsid w:val="006B3F6C"/>
    <w:rsid w:val="006D26F7"/>
    <w:rsid w:val="006D3C79"/>
    <w:rsid w:val="006D41A6"/>
    <w:rsid w:val="00717917"/>
    <w:rsid w:val="007417ED"/>
    <w:rsid w:val="007563E7"/>
    <w:rsid w:val="007746F3"/>
    <w:rsid w:val="00810DAC"/>
    <w:rsid w:val="00833313"/>
    <w:rsid w:val="008477D2"/>
    <w:rsid w:val="0086154C"/>
    <w:rsid w:val="00876A46"/>
    <w:rsid w:val="00887505"/>
    <w:rsid w:val="008A0D80"/>
    <w:rsid w:val="008B7705"/>
    <w:rsid w:val="008F425D"/>
    <w:rsid w:val="008F493C"/>
    <w:rsid w:val="00911431"/>
    <w:rsid w:val="009450C7"/>
    <w:rsid w:val="00952710"/>
    <w:rsid w:val="00962159"/>
    <w:rsid w:val="009B2631"/>
    <w:rsid w:val="009E1065"/>
    <w:rsid w:val="009E5FEE"/>
    <w:rsid w:val="009F71B8"/>
    <w:rsid w:val="00A30EA1"/>
    <w:rsid w:val="00A32338"/>
    <w:rsid w:val="00A535BA"/>
    <w:rsid w:val="00A56EBA"/>
    <w:rsid w:val="00A663E4"/>
    <w:rsid w:val="00A90A53"/>
    <w:rsid w:val="00AA5652"/>
    <w:rsid w:val="00AB54FF"/>
    <w:rsid w:val="00AC310B"/>
    <w:rsid w:val="00AC4F42"/>
    <w:rsid w:val="00AE01CB"/>
    <w:rsid w:val="00B25EE0"/>
    <w:rsid w:val="00B407EF"/>
    <w:rsid w:val="00B41CA7"/>
    <w:rsid w:val="00B42F2F"/>
    <w:rsid w:val="00B57D1E"/>
    <w:rsid w:val="00B60C9F"/>
    <w:rsid w:val="00BA59D9"/>
    <w:rsid w:val="00BE78C0"/>
    <w:rsid w:val="00BF4616"/>
    <w:rsid w:val="00C52EA9"/>
    <w:rsid w:val="00C669D5"/>
    <w:rsid w:val="00C86FBA"/>
    <w:rsid w:val="00CA4761"/>
    <w:rsid w:val="00CB4238"/>
    <w:rsid w:val="00CB6981"/>
    <w:rsid w:val="00CD3149"/>
    <w:rsid w:val="00CE009C"/>
    <w:rsid w:val="00D254E0"/>
    <w:rsid w:val="00D41FAA"/>
    <w:rsid w:val="00D476FF"/>
    <w:rsid w:val="00D53172"/>
    <w:rsid w:val="00DB2D16"/>
    <w:rsid w:val="00DD2A88"/>
    <w:rsid w:val="00E03A75"/>
    <w:rsid w:val="00E127BA"/>
    <w:rsid w:val="00E23E9A"/>
    <w:rsid w:val="00E3599D"/>
    <w:rsid w:val="00E36759"/>
    <w:rsid w:val="00E46EDD"/>
    <w:rsid w:val="00E52319"/>
    <w:rsid w:val="00E54A47"/>
    <w:rsid w:val="00E66CB8"/>
    <w:rsid w:val="00E674F4"/>
    <w:rsid w:val="00E67DC5"/>
    <w:rsid w:val="00E80BDE"/>
    <w:rsid w:val="00E83694"/>
    <w:rsid w:val="00E9478C"/>
    <w:rsid w:val="00EF2DBA"/>
    <w:rsid w:val="00F07BA9"/>
    <w:rsid w:val="00F2714D"/>
    <w:rsid w:val="00F4078F"/>
    <w:rsid w:val="00F743BA"/>
    <w:rsid w:val="00F76E06"/>
    <w:rsid w:val="00F806AA"/>
    <w:rsid w:val="00FA5189"/>
    <w:rsid w:val="00FE112B"/>
    <w:rsid w:val="00FE292C"/>
    <w:rsid w:val="00FE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val="gd-GB"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2830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5EE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E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E06"/>
    <w:rPr>
      <w:rFonts w:ascii="Tahoma" w:hAnsi="Tahoma" w:cs="Tahoma"/>
      <w:sz w:val="16"/>
      <w:szCs w:val="16"/>
      <w:lang w:val="gd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76E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6E0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6E06"/>
    <w:rPr>
      <w:sz w:val="20"/>
      <w:lang w:val="gd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E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6E06"/>
    <w:rPr>
      <w:b/>
      <w:bCs/>
      <w:sz w:val="20"/>
      <w:lang w:val="gd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80BDE"/>
    <w:rPr>
      <w:lang w:val="gd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B770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val="gd-GB"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2830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5EE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E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E06"/>
    <w:rPr>
      <w:rFonts w:ascii="Tahoma" w:hAnsi="Tahoma" w:cs="Tahoma"/>
      <w:sz w:val="16"/>
      <w:szCs w:val="16"/>
      <w:lang w:val="gd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76E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6E0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6E06"/>
    <w:rPr>
      <w:sz w:val="20"/>
      <w:lang w:val="gd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E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6E06"/>
    <w:rPr>
      <w:b/>
      <w:bCs/>
      <w:sz w:val="20"/>
      <w:lang w:val="gd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80BDE"/>
    <w:rPr>
      <w:lang w:val="gd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B77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ult.scotland.gov.uk/energy-markets/renewables-obligation-exemptions/consult_vie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3568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U419359</dc:creator>
  <cp:lastModifiedBy>James Hemphill</cp:lastModifiedBy>
  <cp:revision>2</cp:revision>
  <dcterms:created xsi:type="dcterms:W3CDTF">2016-07-14T14:09:00Z</dcterms:created>
  <dcterms:modified xsi:type="dcterms:W3CDTF">2016-07-14T14:09:00Z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A14866745</vt:lpwstr>
  </property>
  <property fmtid="{D5CDD505-2E9C-101B-9397-08002B2CF9AE}" pid="4" name="Objective-Title">
    <vt:lpwstr>RO Exemption for EIIs - Analysis Report Required for Consultation Portal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2016-07-14T11:32:25Z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2016-07-14T13:34:11Z</vt:filetime>
  </property>
  <property fmtid="{D5CDD505-2E9C-101B-9397-08002B2CF9AE}" pid="10" name="Objective-ModificationStamp">
    <vt:filetime>2016-07-14T13:34:13Z</vt:filetime>
  </property>
  <property fmtid="{D5CDD505-2E9C-101B-9397-08002B2CF9AE}" pid="11" name="Objective-Owner">
    <vt:lpwstr>Hemphill, Jamie J (U417706)</vt:lpwstr>
  </property>
  <property fmtid="{D5CDD505-2E9C-101B-9397-08002B2CF9AE}" pid="12" name="Objective-Path">
    <vt:lpwstr>Objective Global Folder:SG File Plan:Business and industry:Energy and fuel:Renewable energy:Developing legislation: Renewable energy:Electricity Act 1989: The Renewables Obligation (Scotland) Order (2016-2017): 2016-2021:</vt:lpwstr>
  </property>
  <property fmtid="{D5CDD505-2E9C-101B-9397-08002B2CF9AE}" pid="13" name="Objective-Parent">
    <vt:lpwstr>Electricity Act 1989: The Renewables Obligation (Scotland) Order (2016-2017): 2016-2021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i4>4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POL/23647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>
   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</Properties>
</file>