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95D1B" w14:textId="57282345" w:rsidR="008811E6" w:rsidRPr="00073518" w:rsidRDefault="008811E6" w:rsidP="00D31269">
      <w:pPr>
        <w:spacing w:line="240" w:lineRule="auto"/>
        <w:jc w:val="right"/>
      </w:pPr>
    </w:p>
    <w:p w14:paraId="6E2A9E3C" w14:textId="77777777" w:rsidR="00E65B43" w:rsidRDefault="00E65B43" w:rsidP="003C483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Clan-Bold" w:eastAsiaTheme="minorHAnsi" w:hAnsi="Clan-Bold" w:cs="Clan-Bold"/>
          <w:b/>
          <w:bCs/>
          <w:sz w:val="64"/>
          <w:szCs w:val="64"/>
        </w:rPr>
      </w:pPr>
    </w:p>
    <w:p w14:paraId="376DE252" w14:textId="0678BFD7" w:rsidR="00E65B43" w:rsidRDefault="00E65B43" w:rsidP="003C483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Clan-Bold" w:eastAsiaTheme="minorHAnsi" w:hAnsi="Clan-Bold" w:cs="Clan-Bold"/>
          <w:b/>
          <w:bCs/>
          <w:sz w:val="64"/>
          <w:szCs w:val="64"/>
        </w:rPr>
      </w:pPr>
    </w:p>
    <w:p w14:paraId="0872F3C7" w14:textId="2E90F4C6" w:rsidR="00D31269" w:rsidRDefault="00D31269" w:rsidP="003C483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Clan-Bold" w:eastAsiaTheme="minorHAnsi" w:hAnsi="Clan-Bold" w:cs="Clan-Bold"/>
          <w:b/>
          <w:bCs/>
          <w:sz w:val="64"/>
          <w:szCs w:val="64"/>
        </w:rPr>
      </w:pPr>
    </w:p>
    <w:p w14:paraId="0A0B2EDE" w14:textId="77777777" w:rsidR="00D31269" w:rsidRDefault="00D31269" w:rsidP="003C483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Clan-Bold" w:eastAsiaTheme="minorHAnsi" w:hAnsi="Clan-Bold" w:cs="Clan-Bold"/>
          <w:b/>
          <w:bCs/>
          <w:sz w:val="64"/>
          <w:szCs w:val="64"/>
        </w:rPr>
      </w:pPr>
    </w:p>
    <w:p w14:paraId="3405AAC1" w14:textId="47FC5C4D" w:rsidR="008811E6" w:rsidRPr="00073518" w:rsidRDefault="008811E6" w:rsidP="003C483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Clan-Bold" w:eastAsiaTheme="minorHAnsi" w:hAnsi="Clan-Bold" w:cs="Clan-Bold"/>
          <w:b/>
          <w:bCs/>
          <w:sz w:val="64"/>
          <w:szCs w:val="64"/>
        </w:rPr>
      </w:pPr>
      <w:r w:rsidRPr="00073518">
        <w:rPr>
          <w:rFonts w:ascii="Clan-Bold" w:eastAsiaTheme="minorHAnsi" w:hAnsi="Clan-Bold" w:cs="Clan-Bold"/>
          <w:b/>
          <w:bCs/>
          <w:sz w:val="64"/>
          <w:szCs w:val="64"/>
        </w:rPr>
        <w:t>Land and Buildings</w:t>
      </w:r>
    </w:p>
    <w:p w14:paraId="58746EB3" w14:textId="1FDDEB4E" w:rsidR="008811E6" w:rsidRPr="00073518" w:rsidRDefault="008811E6" w:rsidP="003C483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Clan-Bold" w:eastAsiaTheme="minorHAnsi" w:hAnsi="Clan-Bold" w:cs="Clan-Bold"/>
          <w:b/>
          <w:bCs/>
          <w:sz w:val="64"/>
          <w:szCs w:val="64"/>
        </w:rPr>
      </w:pPr>
      <w:r w:rsidRPr="00073518">
        <w:rPr>
          <w:rFonts w:ascii="Clan-Bold" w:eastAsiaTheme="minorHAnsi" w:hAnsi="Clan-Bold" w:cs="Clan-Bold"/>
          <w:b/>
          <w:bCs/>
          <w:sz w:val="64"/>
          <w:szCs w:val="64"/>
        </w:rPr>
        <w:t xml:space="preserve">Transaction Tax: </w:t>
      </w:r>
      <w:r w:rsidR="00624E39">
        <w:rPr>
          <w:rFonts w:ascii="Clan-Bold" w:eastAsiaTheme="minorHAnsi" w:hAnsi="Clan-Bold" w:cs="Clan-Bold"/>
          <w:b/>
          <w:bCs/>
          <w:sz w:val="64"/>
          <w:szCs w:val="64"/>
        </w:rPr>
        <w:t>Property Investment Funds</w:t>
      </w:r>
    </w:p>
    <w:p w14:paraId="05C7B8E6" w14:textId="77777777" w:rsidR="008811E6" w:rsidRPr="00073518" w:rsidRDefault="008811E6" w:rsidP="008811E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Clan-Bold" w:eastAsiaTheme="minorHAnsi" w:hAnsi="Clan-Bold" w:cs="Clan-Bold"/>
          <w:b/>
          <w:bCs/>
          <w:sz w:val="64"/>
          <w:szCs w:val="64"/>
        </w:rPr>
      </w:pPr>
    </w:p>
    <w:p w14:paraId="5A0D0A4C" w14:textId="673BC2E6" w:rsidR="008811E6" w:rsidRPr="00073518" w:rsidRDefault="008811E6" w:rsidP="003C483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ascii="Clan-Bold" w:eastAsiaTheme="minorHAnsi" w:hAnsi="Clan-Bold" w:cs="Clan-Bold"/>
          <w:b/>
          <w:bCs/>
          <w:sz w:val="44"/>
          <w:szCs w:val="44"/>
        </w:rPr>
      </w:pPr>
      <w:r w:rsidRPr="00073518">
        <w:rPr>
          <w:rFonts w:ascii="Clan-Bold" w:eastAsiaTheme="minorHAnsi" w:hAnsi="Clan-Bold" w:cs="Clan-Bold"/>
          <w:b/>
          <w:bCs/>
          <w:sz w:val="44"/>
          <w:szCs w:val="44"/>
        </w:rPr>
        <w:t xml:space="preserve">Analysis of </w:t>
      </w:r>
      <w:r w:rsidR="003C483E">
        <w:rPr>
          <w:rFonts w:ascii="Clan-Bold" w:eastAsiaTheme="minorHAnsi" w:hAnsi="Clan-Bold" w:cs="Clan-Bold"/>
          <w:b/>
          <w:bCs/>
          <w:sz w:val="44"/>
          <w:szCs w:val="44"/>
        </w:rPr>
        <w:t xml:space="preserve">Consultation </w:t>
      </w:r>
      <w:r w:rsidRPr="00073518">
        <w:rPr>
          <w:rFonts w:ascii="Clan-Bold" w:eastAsiaTheme="minorHAnsi" w:hAnsi="Clan-Bold" w:cs="Clan-Bold"/>
          <w:b/>
          <w:bCs/>
          <w:sz w:val="44"/>
          <w:szCs w:val="44"/>
        </w:rPr>
        <w:t>and</w:t>
      </w:r>
    </w:p>
    <w:p w14:paraId="4150EF09" w14:textId="77777777" w:rsidR="008811E6" w:rsidRPr="00073518" w:rsidRDefault="008811E6" w:rsidP="003C483E">
      <w:pPr>
        <w:spacing w:line="240" w:lineRule="auto"/>
        <w:jc w:val="center"/>
        <w:rPr>
          <w:rFonts w:cs="Arial"/>
          <w:b/>
          <w:caps/>
          <w:sz w:val="28"/>
          <w:szCs w:val="28"/>
        </w:rPr>
      </w:pPr>
      <w:r w:rsidRPr="00073518">
        <w:rPr>
          <w:rFonts w:ascii="Clan-Bold" w:eastAsiaTheme="minorHAnsi" w:hAnsi="Clan-Bold" w:cs="Clan-Bold"/>
          <w:b/>
          <w:bCs/>
          <w:sz w:val="44"/>
          <w:szCs w:val="44"/>
        </w:rPr>
        <w:t>Scottish Government Response</w:t>
      </w:r>
    </w:p>
    <w:p w14:paraId="58EEF58C" w14:textId="77777777" w:rsidR="008811E6" w:rsidRPr="00073518" w:rsidRDefault="008811E6" w:rsidP="008811E6">
      <w:pPr>
        <w:spacing w:line="240" w:lineRule="auto"/>
        <w:jc w:val="center"/>
        <w:rPr>
          <w:rFonts w:cs="Arial"/>
          <w:b/>
          <w:caps/>
          <w:sz w:val="28"/>
          <w:szCs w:val="28"/>
        </w:rPr>
      </w:pPr>
    </w:p>
    <w:p w14:paraId="624EEE6C" w14:textId="77777777" w:rsidR="008811E6" w:rsidRPr="00073518" w:rsidRDefault="008811E6" w:rsidP="008811E6">
      <w:pPr>
        <w:spacing w:line="240" w:lineRule="auto"/>
        <w:jc w:val="center"/>
        <w:rPr>
          <w:rFonts w:cs="Arial"/>
          <w:b/>
          <w:caps/>
          <w:sz w:val="28"/>
          <w:szCs w:val="28"/>
        </w:rPr>
      </w:pPr>
    </w:p>
    <w:p w14:paraId="091D9B06" w14:textId="77777777" w:rsidR="008811E6" w:rsidRPr="00073518" w:rsidRDefault="008811E6" w:rsidP="008811E6">
      <w:pPr>
        <w:spacing w:line="240" w:lineRule="auto"/>
        <w:jc w:val="center"/>
        <w:rPr>
          <w:rFonts w:cs="Arial"/>
          <w:b/>
          <w:caps/>
          <w:sz w:val="28"/>
          <w:szCs w:val="28"/>
        </w:rPr>
      </w:pPr>
    </w:p>
    <w:p w14:paraId="4FD0FD56" w14:textId="77777777" w:rsidR="008811E6" w:rsidRPr="00073518" w:rsidRDefault="008811E6" w:rsidP="008811E6">
      <w:pPr>
        <w:spacing w:line="240" w:lineRule="auto"/>
        <w:jc w:val="center"/>
        <w:rPr>
          <w:rFonts w:cs="Arial"/>
          <w:b/>
          <w:caps/>
          <w:sz w:val="28"/>
          <w:szCs w:val="28"/>
        </w:rPr>
      </w:pPr>
    </w:p>
    <w:p w14:paraId="1F93A303" w14:textId="77777777" w:rsidR="008811E6" w:rsidRPr="00073518" w:rsidRDefault="008811E6" w:rsidP="008811E6">
      <w:pPr>
        <w:spacing w:line="240" w:lineRule="auto"/>
        <w:jc w:val="center"/>
        <w:rPr>
          <w:rFonts w:cs="Arial"/>
          <w:b/>
          <w:caps/>
          <w:sz w:val="28"/>
          <w:szCs w:val="28"/>
        </w:rPr>
      </w:pPr>
    </w:p>
    <w:p w14:paraId="7DE16A9A" w14:textId="77777777" w:rsidR="008811E6" w:rsidRPr="00073518" w:rsidRDefault="008811E6" w:rsidP="008811E6">
      <w:pPr>
        <w:spacing w:line="240" w:lineRule="auto"/>
        <w:jc w:val="center"/>
        <w:rPr>
          <w:rFonts w:cs="Arial"/>
          <w:b/>
          <w:caps/>
          <w:sz w:val="28"/>
          <w:szCs w:val="28"/>
        </w:rPr>
      </w:pPr>
    </w:p>
    <w:p w14:paraId="4BC37ED8" w14:textId="77777777" w:rsidR="008811E6" w:rsidRPr="00073518" w:rsidRDefault="008811E6" w:rsidP="008811E6">
      <w:pPr>
        <w:spacing w:line="240" w:lineRule="auto"/>
        <w:jc w:val="center"/>
        <w:rPr>
          <w:rFonts w:cs="Arial"/>
          <w:b/>
          <w:caps/>
          <w:sz w:val="28"/>
          <w:szCs w:val="28"/>
        </w:rPr>
      </w:pPr>
    </w:p>
    <w:p w14:paraId="25E609B3" w14:textId="77777777" w:rsidR="008811E6" w:rsidRPr="00073518" w:rsidRDefault="008811E6" w:rsidP="008811E6">
      <w:pPr>
        <w:spacing w:line="240" w:lineRule="auto"/>
        <w:jc w:val="center"/>
        <w:rPr>
          <w:rFonts w:cs="Arial"/>
          <w:b/>
          <w:caps/>
          <w:sz w:val="28"/>
          <w:szCs w:val="28"/>
        </w:rPr>
      </w:pPr>
    </w:p>
    <w:p w14:paraId="050EDAB8" w14:textId="77777777" w:rsidR="008811E6" w:rsidRPr="00073518" w:rsidRDefault="008811E6" w:rsidP="008811E6">
      <w:pPr>
        <w:spacing w:line="240" w:lineRule="auto"/>
        <w:jc w:val="center"/>
        <w:rPr>
          <w:rFonts w:cs="Arial"/>
          <w:b/>
          <w:caps/>
          <w:sz w:val="28"/>
          <w:szCs w:val="28"/>
        </w:rPr>
      </w:pPr>
    </w:p>
    <w:p w14:paraId="25E96B49" w14:textId="77777777" w:rsidR="008811E6" w:rsidRPr="00073518" w:rsidRDefault="008811E6" w:rsidP="008811E6">
      <w:pPr>
        <w:spacing w:line="240" w:lineRule="auto"/>
        <w:jc w:val="center"/>
        <w:rPr>
          <w:rFonts w:cs="Arial"/>
          <w:b/>
          <w:caps/>
          <w:sz w:val="28"/>
          <w:szCs w:val="28"/>
        </w:rPr>
      </w:pPr>
    </w:p>
    <w:p w14:paraId="06C589F8" w14:textId="77777777" w:rsidR="008811E6" w:rsidRPr="00073518" w:rsidRDefault="008811E6" w:rsidP="008811E6">
      <w:pPr>
        <w:spacing w:line="240" w:lineRule="auto"/>
        <w:jc w:val="center"/>
        <w:rPr>
          <w:rFonts w:cs="Arial"/>
          <w:b/>
          <w:caps/>
          <w:sz w:val="28"/>
          <w:szCs w:val="28"/>
        </w:rPr>
      </w:pPr>
    </w:p>
    <w:p w14:paraId="634A9648" w14:textId="1A6B38E3" w:rsidR="008811E6" w:rsidRDefault="008811E6" w:rsidP="008811E6">
      <w:pPr>
        <w:spacing w:line="240" w:lineRule="auto"/>
        <w:jc w:val="center"/>
        <w:rPr>
          <w:rFonts w:cs="Arial"/>
          <w:b/>
          <w:caps/>
          <w:sz w:val="28"/>
          <w:szCs w:val="28"/>
        </w:rPr>
      </w:pPr>
    </w:p>
    <w:p w14:paraId="1E7215CA" w14:textId="496BA45F" w:rsidR="00D31269" w:rsidRDefault="00D31269" w:rsidP="008811E6">
      <w:pPr>
        <w:spacing w:line="240" w:lineRule="auto"/>
        <w:jc w:val="center"/>
        <w:rPr>
          <w:rFonts w:cs="Arial"/>
          <w:b/>
          <w:caps/>
          <w:sz w:val="28"/>
          <w:szCs w:val="28"/>
        </w:rPr>
      </w:pPr>
    </w:p>
    <w:p w14:paraId="418DB66A" w14:textId="77777777" w:rsidR="00D31269" w:rsidRPr="00D31269" w:rsidRDefault="00D31269" w:rsidP="00D31269">
      <w:pPr>
        <w:spacing w:line="240" w:lineRule="auto"/>
        <w:jc w:val="left"/>
        <w:rPr>
          <w:rFonts w:cs="Arial"/>
          <w:caps/>
          <w:sz w:val="28"/>
          <w:szCs w:val="28"/>
        </w:rPr>
      </w:pPr>
    </w:p>
    <w:p w14:paraId="295463FE" w14:textId="58CCA2ED" w:rsidR="00D31269" w:rsidRDefault="00D31269" w:rsidP="00D31269">
      <w:pPr>
        <w:spacing w:line="240" w:lineRule="auto"/>
        <w:jc w:val="left"/>
        <w:rPr>
          <w:rFonts w:cs="Arial"/>
          <w:caps/>
          <w:sz w:val="28"/>
          <w:szCs w:val="28"/>
        </w:rPr>
      </w:pPr>
    </w:p>
    <w:p w14:paraId="3D934D97" w14:textId="77777777" w:rsidR="00D31269" w:rsidRDefault="00D31269" w:rsidP="00D31269">
      <w:pPr>
        <w:spacing w:line="240" w:lineRule="auto"/>
        <w:jc w:val="left"/>
        <w:rPr>
          <w:rFonts w:cs="Arial"/>
          <w:caps/>
          <w:sz w:val="28"/>
          <w:szCs w:val="28"/>
        </w:rPr>
      </w:pPr>
    </w:p>
    <w:p w14:paraId="3F7421EC" w14:textId="43121FA2" w:rsidR="008811E6" w:rsidRPr="00D31269" w:rsidRDefault="00D31269" w:rsidP="00D31269">
      <w:pPr>
        <w:spacing w:line="240" w:lineRule="auto"/>
        <w:jc w:val="left"/>
        <w:rPr>
          <w:rFonts w:cs="Arial"/>
          <w:sz w:val="28"/>
          <w:szCs w:val="28"/>
        </w:rPr>
      </w:pPr>
      <w:r w:rsidRPr="00D31269">
        <w:rPr>
          <w:rFonts w:cs="Arial"/>
          <w:caps/>
          <w:sz w:val="28"/>
          <w:szCs w:val="28"/>
        </w:rPr>
        <w:t>D</w:t>
      </w:r>
      <w:r w:rsidRPr="00D31269">
        <w:rPr>
          <w:rFonts w:cs="Arial"/>
          <w:sz w:val="28"/>
          <w:szCs w:val="28"/>
        </w:rPr>
        <w:t>ecember 2018</w:t>
      </w:r>
    </w:p>
    <w:p w14:paraId="4F171733" w14:textId="2538370B" w:rsidR="008811E6" w:rsidRPr="00073518" w:rsidRDefault="00D31269" w:rsidP="00D31269">
      <w:pPr>
        <w:spacing w:line="240" w:lineRule="auto"/>
        <w:jc w:val="right"/>
        <w:rPr>
          <w:rFonts w:cs="Arial"/>
          <w:b/>
          <w:caps/>
          <w:sz w:val="28"/>
          <w:szCs w:val="28"/>
        </w:rPr>
      </w:pPr>
      <w:r>
        <w:rPr>
          <w:noProof/>
          <w:lang w:eastAsia="en-GB"/>
        </w:rPr>
        <w:drawing>
          <wp:inline distT="0" distB="0" distL="0" distR="0" wp14:anchorId="78A45990" wp14:editId="49C4FFB5">
            <wp:extent cx="2222869" cy="7524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9148" cy="754601"/>
                    </a:xfrm>
                    <a:prstGeom prst="rect">
                      <a:avLst/>
                    </a:prstGeom>
                  </pic:spPr>
                </pic:pic>
              </a:graphicData>
            </a:graphic>
          </wp:inline>
        </w:drawing>
      </w:r>
    </w:p>
    <w:p w14:paraId="4C063820" w14:textId="77777777" w:rsidR="00624E39" w:rsidRDefault="00624E39" w:rsidP="008811E6">
      <w:pPr>
        <w:spacing w:line="240" w:lineRule="auto"/>
        <w:jc w:val="left"/>
        <w:rPr>
          <w:rFonts w:cs="Arial"/>
          <w:b/>
          <w:caps/>
          <w:sz w:val="28"/>
          <w:szCs w:val="28"/>
        </w:rPr>
      </w:pPr>
    </w:p>
    <w:p w14:paraId="25A4148B" w14:textId="77777777" w:rsidR="008E5792" w:rsidRPr="00073518" w:rsidRDefault="008E5792" w:rsidP="008E5792">
      <w:pPr>
        <w:spacing w:line="240" w:lineRule="auto"/>
        <w:jc w:val="left"/>
        <w:rPr>
          <w:rFonts w:cs="Arial"/>
          <w:b/>
          <w:caps/>
          <w:sz w:val="28"/>
          <w:szCs w:val="28"/>
        </w:rPr>
      </w:pPr>
      <w:r w:rsidRPr="00073518">
        <w:rPr>
          <w:rFonts w:cs="Arial"/>
          <w:b/>
          <w:caps/>
          <w:sz w:val="28"/>
          <w:szCs w:val="28"/>
        </w:rPr>
        <w:t>Contents</w:t>
      </w:r>
    </w:p>
    <w:p w14:paraId="22B4E812" w14:textId="77777777" w:rsidR="008E5792" w:rsidRPr="00073518" w:rsidRDefault="008E5792" w:rsidP="008E5792">
      <w:pPr>
        <w:spacing w:line="240" w:lineRule="auto"/>
        <w:jc w:val="left"/>
        <w:rPr>
          <w:rFonts w:ascii="Arial Bold" w:hAnsi="Arial Bold" w:cs="Arial"/>
          <w:b/>
          <w:cap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4"/>
        <w:gridCol w:w="1182"/>
      </w:tblGrid>
      <w:tr w:rsidR="008E5792" w:rsidRPr="00073518" w14:paraId="62143B80" w14:textId="77777777" w:rsidTr="00C378E2">
        <w:trPr>
          <w:trHeight w:val="552"/>
          <w:jc w:val="center"/>
        </w:trPr>
        <w:tc>
          <w:tcPr>
            <w:tcW w:w="8046" w:type="dxa"/>
            <w:shd w:val="clear" w:color="auto" w:fill="auto"/>
            <w:vAlign w:val="center"/>
          </w:tcPr>
          <w:p w14:paraId="1137D0A3" w14:textId="77777777" w:rsidR="008E5792" w:rsidRPr="00073518" w:rsidRDefault="008E5792" w:rsidP="001018BC">
            <w:pPr>
              <w:spacing w:line="240" w:lineRule="auto"/>
              <w:jc w:val="left"/>
              <w:rPr>
                <w:rFonts w:cs="Arial"/>
                <w:b/>
                <w:szCs w:val="24"/>
              </w:rPr>
            </w:pPr>
            <w:r w:rsidRPr="00073518">
              <w:rPr>
                <w:rFonts w:cs="Arial"/>
                <w:b/>
                <w:szCs w:val="24"/>
              </w:rPr>
              <w:t>Introduction</w:t>
            </w:r>
          </w:p>
        </w:tc>
        <w:tc>
          <w:tcPr>
            <w:tcW w:w="1196" w:type="dxa"/>
            <w:shd w:val="clear" w:color="auto" w:fill="auto"/>
            <w:vAlign w:val="center"/>
          </w:tcPr>
          <w:p w14:paraId="254BA561" w14:textId="77777777" w:rsidR="008E5792" w:rsidRPr="00073518" w:rsidRDefault="008E5792" w:rsidP="00C378E2">
            <w:pPr>
              <w:spacing w:line="240" w:lineRule="auto"/>
              <w:jc w:val="center"/>
              <w:rPr>
                <w:rFonts w:cs="Arial"/>
                <w:szCs w:val="24"/>
              </w:rPr>
            </w:pPr>
            <w:r w:rsidRPr="00073518">
              <w:rPr>
                <w:rFonts w:cs="Arial"/>
                <w:szCs w:val="24"/>
              </w:rPr>
              <w:t>Page 3</w:t>
            </w:r>
          </w:p>
        </w:tc>
      </w:tr>
      <w:tr w:rsidR="008E5792" w:rsidRPr="00073518" w14:paraId="24F7BD7C" w14:textId="77777777" w:rsidTr="00C378E2">
        <w:trPr>
          <w:trHeight w:val="552"/>
          <w:jc w:val="center"/>
        </w:trPr>
        <w:tc>
          <w:tcPr>
            <w:tcW w:w="8046" w:type="dxa"/>
            <w:shd w:val="clear" w:color="auto" w:fill="auto"/>
            <w:vAlign w:val="center"/>
          </w:tcPr>
          <w:p w14:paraId="3D3B7F5B" w14:textId="77777777" w:rsidR="008E5792" w:rsidRPr="00073518" w:rsidRDefault="008E5792" w:rsidP="001018BC">
            <w:pPr>
              <w:spacing w:line="240" w:lineRule="auto"/>
              <w:jc w:val="left"/>
              <w:rPr>
                <w:rFonts w:cs="Arial"/>
                <w:b/>
                <w:szCs w:val="24"/>
              </w:rPr>
            </w:pPr>
            <w:r w:rsidRPr="00073518">
              <w:rPr>
                <w:rFonts w:cs="Arial"/>
                <w:b/>
                <w:szCs w:val="24"/>
              </w:rPr>
              <w:t>Executive summary</w:t>
            </w:r>
          </w:p>
        </w:tc>
        <w:tc>
          <w:tcPr>
            <w:tcW w:w="1196" w:type="dxa"/>
            <w:shd w:val="clear" w:color="auto" w:fill="auto"/>
            <w:vAlign w:val="center"/>
          </w:tcPr>
          <w:p w14:paraId="2E91A871" w14:textId="77777777" w:rsidR="008E5792" w:rsidRPr="00073518" w:rsidRDefault="00C378E2" w:rsidP="00C378E2">
            <w:pPr>
              <w:spacing w:line="240" w:lineRule="auto"/>
              <w:jc w:val="center"/>
              <w:rPr>
                <w:rFonts w:cs="Arial"/>
                <w:szCs w:val="24"/>
              </w:rPr>
            </w:pPr>
            <w:r>
              <w:rPr>
                <w:rFonts w:cs="Arial"/>
                <w:szCs w:val="24"/>
              </w:rPr>
              <w:t>Page 3</w:t>
            </w:r>
          </w:p>
        </w:tc>
      </w:tr>
      <w:tr w:rsidR="008E5792" w:rsidRPr="00073518" w14:paraId="2FED4B8A" w14:textId="77777777" w:rsidTr="00F118EF">
        <w:trPr>
          <w:trHeight w:val="538"/>
          <w:jc w:val="center"/>
        </w:trPr>
        <w:tc>
          <w:tcPr>
            <w:tcW w:w="8046" w:type="dxa"/>
            <w:shd w:val="clear" w:color="auto" w:fill="auto"/>
            <w:vAlign w:val="center"/>
          </w:tcPr>
          <w:p w14:paraId="4F2D0DFF" w14:textId="77777777" w:rsidR="008E5792" w:rsidRPr="00073518" w:rsidRDefault="008E5792" w:rsidP="001018BC">
            <w:pPr>
              <w:spacing w:line="240" w:lineRule="auto"/>
              <w:jc w:val="left"/>
              <w:rPr>
                <w:rFonts w:cs="Arial"/>
                <w:b/>
                <w:szCs w:val="24"/>
              </w:rPr>
            </w:pPr>
            <w:r>
              <w:rPr>
                <w:rFonts w:cs="Arial"/>
                <w:b/>
                <w:bCs/>
                <w:szCs w:val="24"/>
                <w:lang w:eastAsia="en-GB"/>
              </w:rPr>
              <w:t>Property Investment in Scotland</w:t>
            </w:r>
          </w:p>
        </w:tc>
        <w:tc>
          <w:tcPr>
            <w:tcW w:w="1196" w:type="dxa"/>
            <w:shd w:val="clear" w:color="auto" w:fill="auto"/>
            <w:vAlign w:val="center"/>
          </w:tcPr>
          <w:p w14:paraId="0E7EC236" w14:textId="77777777" w:rsidR="008E5792" w:rsidRPr="00073518" w:rsidRDefault="008E5792" w:rsidP="00C378E2">
            <w:pPr>
              <w:spacing w:line="240" w:lineRule="auto"/>
              <w:jc w:val="center"/>
              <w:rPr>
                <w:rFonts w:cs="Arial"/>
                <w:szCs w:val="24"/>
              </w:rPr>
            </w:pPr>
            <w:r w:rsidRPr="00073518">
              <w:rPr>
                <w:rFonts w:cs="Arial"/>
                <w:szCs w:val="24"/>
              </w:rPr>
              <w:t xml:space="preserve">Page </w:t>
            </w:r>
            <w:r w:rsidR="00C378E2">
              <w:rPr>
                <w:rFonts w:cs="Arial"/>
                <w:szCs w:val="24"/>
              </w:rPr>
              <w:t>4</w:t>
            </w:r>
          </w:p>
        </w:tc>
      </w:tr>
      <w:tr w:rsidR="008E5792" w:rsidRPr="00073518" w14:paraId="52354682" w14:textId="77777777" w:rsidTr="00C378E2">
        <w:trPr>
          <w:trHeight w:val="552"/>
          <w:jc w:val="center"/>
        </w:trPr>
        <w:tc>
          <w:tcPr>
            <w:tcW w:w="8046" w:type="dxa"/>
            <w:shd w:val="clear" w:color="auto" w:fill="auto"/>
            <w:vAlign w:val="center"/>
          </w:tcPr>
          <w:p w14:paraId="3D77B045" w14:textId="77777777" w:rsidR="008E5792" w:rsidRPr="00073518" w:rsidRDefault="008E5792" w:rsidP="001018BC">
            <w:pPr>
              <w:spacing w:line="240" w:lineRule="auto"/>
              <w:jc w:val="left"/>
              <w:rPr>
                <w:rFonts w:cs="Arial"/>
                <w:szCs w:val="24"/>
                <w:lang w:eastAsia="en-GB"/>
              </w:rPr>
            </w:pPr>
            <w:r>
              <w:rPr>
                <w:rFonts w:cs="Arial"/>
                <w:b/>
                <w:bCs/>
                <w:szCs w:val="24"/>
                <w:lang w:eastAsia="en-GB"/>
              </w:rPr>
              <w:t>Seeding Relief</w:t>
            </w:r>
          </w:p>
        </w:tc>
        <w:tc>
          <w:tcPr>
            <w:tcW w:w="1196" w:type="dxa"/>
            <w:shd w:val="clear" w:color="auto" w:fill="auto"/>
            <w:vAlign w:val="center"/>
          </w:tcPr>
          <w:p w14:paraId="33B21751" w14:textId="77777777" w:rsidR="008E5792" w:rsidRPr="00073518" w:rsidRDefault="008E5792" w:rsidP="00C378E2">
            <w:pPr>
              <w:spacing w:line="240" w:lineRule="auto"/>
              <w:jc w:val="center"/>
              <w:rPr>
                <w:rFonts w:cs="Arial"/>
                <w:szCs w:val="24"/>
              </w:rPr>
            </w:pPr>
            <w:r w:rsidRPr="00073518">
              <w:rPr>
                <w:rFonts w:cs="Arial"/>
                <w:szCs w:val="24"/>
              </w:rPr>
              <w:t xml:space="preserve">Page </w:t>
            </w:r>
            <w:r w:rsidR="00F118EF">
              <w:rPr>
                <w:rFonts w:cs="Arial"/>
                <w:szCs w:val="24"/>
              </w:rPr>
              <w:t>5</w:t>
            </w:r>
          </w:p>
        </w:tc>
      </w:tr>
      <w:tr w:rsidR="008E5792" w:rsidRPr="00073518" w14:paraId="0092D4E0" w14:textId="77777777" w:rsidTr="00C378E2">
        <w:trPr>
          <w:trHeight w:val="552"/>
          <w:jc w:val="center"/>
        </w:trPr>
        <w:tc>
          <w:tcPr>
            <w:tcW w:w="8046" w:type="dxa"/>
            <w:shd w:val="clear" w:color="auto" w:fill="auto"/>
            <w:vAlign w:val="center"/>
          </w:tcPr>
          <w:p w14:paraId="60DEB906" w14:textId="77777777" w:rsidR="008E5792" w:rsidRPr="00073518" w:rsidRDefault="008E5792" w:rsidP="001018BC">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roofErr w:type="spellStart"/>
            <w:r>
              <w:rPr>
                <w:rFonts w:cs="Arial"/>
                <w:b/>
                <w:bCs/>
                <w:szCs w:val="24"/>
                <w:lang w:eastAsia="en-GB"/>
              </w:rPr>
              <w:t>LBTT</w:t>
            </w:r>
            <w:proofErr w:type="spellEnd"/>
            <w:r>
              <w:rPr>
                <w:rFonts w:cs="Arial"/>
                <w:b/>
                <w:bCs/>
                <w:szCs w:val="24"/>
                <w:lang w:eastAsia="en-GB"/>
              </w:rPr>
              <w:t xml:space="preserve"> Treatment of </w:t>
            </w:r>
            <w:proofErr w:type="spellStart"/>
            <w:r>
              <w:rPr>
                <w:rFonts w:cs="Arial"/>
                <w:b/>
                <w:bCs/>
                <w:szCs w:val="24"/>
                <w:lang w:eastAsia="en-GB"/>
              </w:rPr>
              <w:t>CoACS</w:t>
            </w:r>
            <w:proofErr w:type="spellEnd"/>
          </w:p>
        </w:tc>
        <w:tc>
          <w:tcPr>
            <w:tcW w:w="1196" w:type="dxa"/>
            <w:shd w:val="clear" w:color="auto" w:fill="auto"/>
            <w:vAlign w:val="center"/>
          </w:tcPr>
          <w:p w14:paraId="5B6D062D" w14:textId="5FC70FFA" w:rsidR="008E5792" w:rsidRPr="00073518" w:rsidRDefault="008E5792" w:rsidP="002A637F">
            <w:pPr>
              <w:spacing w:line="240" w:lineRule="auto"/>
              <w:jc w:val="center"/>
              <w:rPr>
                <w:rFonts w:cs="Arial"/>
                <w:szCs w:val="24"/>
              </w:rPr>
            </w:pPr>
            <w:r w:rsidRPr="00073518">
              <w:rPr>
                <w:rFonts w:cs="Arial"/>
                <w:szCs w:val="24"/>
              </w:rPr>
              <w:t xml:space="preserve">Page </w:t>
            </w:r>
            <w:r w:rsidR="002A637F">
              <w:rPr>
                <w:rFonts w:cs="Arial"/>
                <w:szCs w:val="24"/>
              </w:rPr>
              <w:t>8</w:t>
            </w:r>
          </w:p>
        </w:tc>
      </w:tr>
      <w:tr w:rsidR="008E5792" w:rsidRPr="00073518" w14:paraId="23DE0DC9" w14:textId="77777777" w:rsidTr="00C378E2">
        <w:trPr>
          <w:trHeight w:val="552"/>
          <w:jc w:val="center"/>
        </w:trPr>
        <w:tc>
          <w:tcPr>
            <w:tcW w:w="8046" w:type="dxa"/>
            <w:shd w:val="clear" w:color="auto" w:fill="auto"/>
            <w:vAlign w:val="center"/>
          </w:tcPr>
          <w:p w14:paraId="1BFD57C4" w14:textId="77777777" w:rsidR="008E5792" w:rsidRPr="008A1E48" w:rsidRDefault="008E5792" w:rsidP="008E5792">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r w:rsidRPr="008A1E48">
              <w:rPr>
                <w:rFonts w:cs="Arial"/>
                <w:b/>
                <w:bCs/>
                <w:szCs w:val="24"/>
                <w:lang w:eastAsia="en-GB"/>
              </w:rPr>
              <w:t>Tax Avoidance</w:t>
            </w:r>
          </w:p>
        </w:tc>
        <w:tc>
          <w:tcPr>
            <w:tcW w:w="1196" w:type="dxa"/>
            <w:shd w:val="clear" w:color="auto" w:fill="auto"/>
            <w:vAlign w:val="center"/>
          </w:tcPr>
          <w:p w14:paraId="611CAB21" w14:textId="68B3BEC7" w:rsidR="008E5792" w:rsidRPr="008A1E48" w:rsidRDefault="008E5792" w:rsidP="00C378E2">
            <w:pPr>
              <w:spacing w:line="240" w:lineRule="auto"/>
              <w:jc w:val="center"/>
              <w:rPr>
                <w:rFonts w:cs="Arial"/>
                <w:szCs w:val="24"/>
              </w:rPr>
            </w:pPr>
            <w:r w:rsidRPr="008A1E48">
              <w:rPr>
                <w:rFonts w:cs="Arial"/>
                <w:szCs w:val="24"/>
              </w:rPr>
              <w:t>Page</w:t>
            </w:r>
            <w:r w:rsidR="002A637F">
              <w:rPr>
                <w:rFonts w:cs="Arial"/>
                <w:szCs w:val="24"/>
              </w:rPr>
              <w:t xml:space="preserve"> 10</w:t>
            </w:r>
          </w:p>
        </w:tc>
      </w:tr>
      <w:tr w:rsidR="008E5792" w:rsidRPr="00073518" w14:paraId="71216362" w14:textId="77777777" w:rsidTr="00C378E2">
        <w:trPr>
          <w:trHeight w:val="552"/>
          <w:jc w:val="center"/>
        </w:trPr>
        <w:tc>
          <w:tcPr>
            <w:tcW w:w="8046" w:type="dxa"/>
            <w:shd w:val="clear" w:color="auto" w:fill="auto"/>
            <w:vAlign w:val="center"/>
          </w:tcPr>
          <w:p w14:paraId="18C38C52" w14:textId="67FFB090" w:rsidR="008E5792" w:rsidRPr="008E5792" w:rsidRDefault="00AD3BF3" w:rsidP="008E5792">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
                <w:bCs/>
                <w:szCs w:val="24"/>
                <w:highlight w:val="yellow"/>
                <w:lang w:eastAsia="en-GB"/>
              </w:rPr>
            </w:pPr>
            <w:r w:rsidRPr="00A33FD8">
              <w:rPr>
                <w:rFonts w:cs="Arial"/>
                <w:b/>
                <w:bCs/>
                <w:szCs w:val="24"/>
                <w:lang w:eastAsia="en-GB"/>
              </w:rPr>
              <w:t xml:space="preserve">Impacts </w:t>
            </w:r>
          </w:p>
        </w:tc>
        <w:tc>
          <w:tcPr>
            <w:tcW w:w="1196" w:type="dxa"/>
            <w:shd w:val="clear" w:color="auto" w:fill="auto"/>
            <w:vAlign w:val="center"/>
          </w:tcPr>
          <w:p w14:paraId="20EAF763" w14:textId="74531B2D" w:rsidR="008E5792" w:rsidRPr="008E5792" w:rsidRDefault="008E5792" w:rsidP="00C378E2">
            <w:pPr>
              <w:spacing w:line="240" w:lineRule="auto"/>
              <w:jc w:val="center"/>
              <w:rPr>
                <w:rFonts w:cs="Arial"/>
                <w:szCs w:val="24"/>
                <w:highlight w:val="yellow"/>
              </w:rPr>
            </w:pPr>
            <w:r w:rsidRPr="00A33FD8">
              <w:rPr>
                <w:rFonts w:cs="Arial"/>
                <w:szCs w:val="24"/>
              </w:rPr>
              <w:t>Page</w:t>
            </w:r>
            <w:r w:rsidR="002A637F">
              <w:rPr>
                <w:rFonts w:cs="Arial"/>
                <w:szCs w:val="24"/>
              </w:rPr>
              <w:t xml:space="preserve"> 11</w:t>
            </w:r>
          </w:p>
        </w:tc>
      </w:tr>
      <w:tr w:rsidR="008E5792" w:rsidRPr="00073518" w14:paraId="108F1D6C" w14:textId="77777777" w:rsidTr="00C378E2">
        <w:trPr>
          <w:trHeight w:val="552"/>
          <w:jc w:val="center"/>
        </w:trPr>
        <w:tc>
          <w:tcPr>
            <w:tcW w:w="8046" w:type="dxa"/>
            <w:shd w:val="clear" w:color="auto" w:fill="auto"/>
            <w:vAlign w:val="center"/>
          </w:tcPr>
          <w:p w14:paraId="28EE9F50" w14:textId="20E21FDE" w:rsidR="008E5792" w:rsidRPr="008E5792" w:rsidRDefault="008E5792" w:rsidP="00701A48">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highlight w:val="yellow"/>
                <w:lang w:eastAsia="en-GB"/>
              </w:rPr>
            </w:pPr>
            <w:r w:rsidRPr="002E2CC4">
              <w:rPr>
                <w:rFonts w:cs="Arial"/>
                <w:b/>
                <w:szCs w:val="24"/>
              </w:rPr>
              <w:t xml:space="preserve">Scottish Government Response </w:t>
            </w:r>
          </w:p>
        </w:tc>
        <w:tc>
          <w:tcPr>
            <w:tcW w:w="1196" w:type="dxa"/>
            <w:shd w:val="clear" w:color="auto" w:fill="auto"/>
            <w:vAlign w:val="center"/>
          </w:tcPr>
          <w:p w14:paraId="65628B83" w14:textId="66D6DB24" w:rsidR="008E5792" w:rsidRPr="002E2CC4" w:rsidRDefault="008E5792" w:rsidP="00C378E2">
            <w:pPr>
              <w:spacing w:line="240" w:lineRule="auto"/>
              <w:jc w:val="center"/>
              <w:rPr>
                <w:rFonts w:cs="Arial"/>
                <w:szCs w:val="24"/>
              </w:rPr>
            </w:pPr>
            <w:r w:rsidRPr="00701A48">
              <w:rPr>
                <w:rFonts w:cs="Arial"/>
                <w:szCs w:val="24"/>
              </w:rPr>
              <w:t>Page</w:t>
            </w:r>
            <w:r w:rsidR="00263EF1" w:rsidRPr="00701A48">
              <w:rPr>
                <w:rFonts w:cs="Arial"/>
                <w:szCs w:val="24"/>
              </w:rPr>
              <w:t xml:space="preserve"> 13</w:t>
            </w:r>
          </w:p>
        </w:tc>
      </w:tr>
      <w:tr w:rsidR="008E5792" w:rsidRPr="00073518" w14:paraId="717E5E70" w14:textId="77777777" w:rsidTr="00C378E2">
        <w:trPr>
          <w:trHeight w:val="552"/>
          <w:jc w:val="center"/>
        </w:trPr>
        <w:tc>
          <w:tcPr>
            <w:tcW w:w="8046" w:type="dxa"/>
            <w:shd w:val="clear" w:color="auto" w:fill="auto"/>
            <w:vAlign w:val="center"/>
          </w:tcPr>
          <w:p w14:paraId="5D68833C" w14:textId="77777777" w:rsidR="008E5792" w:rsidRPr="002E2CC4" w:rsidRDefault="008E5792" w:rsidP="001018BC">
            <w:pPr>
              <w:spacing w:line="240" w:lineRule="auto"/>
              <w:jc w:val="left"/>
              <w:rPr>
                <w:rFonts w:cs="Arial"/>
                <w:b/>
                <w:szCs w:val="24"/>
              </w:rPr>
            </w:pPr>
            <w:r w:rsidRPr="002E2CC4">
              <w:rPr>
                <w:rFonts w:cs="Arial"/>
                <w:b/>
                <w:szCs w:val="24"/>
              </w:rPr>
              <w:t>Annex A:  List of Respondents</w:t>
            </w:r>
          </w:p>
        </w:tc>
        <w:tc>
          <w:tcPr>
            <w:tcW w:w="1196" w:type="dxa"/>
            <w:shd w:val="clear" w:color="auto" w:fill="auto"/>
            <w:vAlign w:val="center"/>
          </w:tcPr>
          <w:p w14:paraId="0D7F8E2F" w14:textId="5B0E89CA" w:rsidR="008E5792" w:rsidRPr="002E2CC4" w:rsidRDefault="008E5792" w:rsidP="00701A48">
            <w:pPr>
              <w:spacing w:line="240" w:lineRule="auto"/>
              <w:jc w:val="center"/>
              <w:rPr>
                <w:rFonts w:cs="Arial"/>
                <w:szCs w:val="24"/>
              </w:rPr>
            </w:pPr>
            <w:r w:rsidRPr="002E2CC4">
              <w:rPr>
                <w:rFonts w:cs="Arial"/>
                <w:szCs w:val="24"/>
              </w:rPr>
              <w:t>Page</w:t>
            </w:r>
            <w:r w:rsidR="00701A48">
              <w:rPr>
                <w:rFonts w:cs="Arial"/>
                <w:szCs w:val="24"/>
              </w:rPr>
              <w:t xml:space="preserve"> 15</w:t>
            </w:r>
          </w:p>
        </w:tc>
      </w:tr>
      <w:tr w:rsidR="001B7411" w:rsidRPr="00073518" w14:paraId="1C3D4C2F" w14:textId="77777777" w:rsidTr="00C378E2">
        <w:trPr>
          <w:trHeight w:val="552"/>
          <w:jc w:val="center"/>
        </w:trPr>
        <w:tc>
          <w:tcPr>
            <w:tcW w:w="8046" w:type="dxa"/>
            <w:shd w:val="clear" w:color="auto" w:fill="auto"/>
            <w:vAlign w:val="center"/>
          </w:tcPr>
          <w:p w14:paraId="599E1E92" w14:textId="543D2066" w:rsidR="001B7411" w:rsidRPr="002E2CC4" w:rsidRDefault="001B7411" w:rsidP="001018BC">
            <w:pPr>
              <w:spacing w:line="240" w:lineRule="auto"/>
              <w:jc w:val="left"/>
              <w:rPr>
                <w:rFonts w:cs="Arial"/>
                <w:b/>
                <w:szCs w:val="24"/>
              </w:rPr>
            </w:pPr>
            <w:r w:rsidRPr="002E2CC4">
              <w:rPr>
                <w:rFonts w:cs="Arial"/>
                <w:b/>
                <w:szCs w:val="24"/>
              </w:rPr>
              <w:t xml:space="preserve">Annex B:  Stakeholder </w:t>
            </w:r>
            <w:r w:rsidR="00E208EF" w:rsidRPr="002E2CC4">
              <w:rPr>
                <w:rFonts w:cs="Arial"/>
                <w:b/>
                <w:szCs w:val="24"/>
              </w:rPr>
              <w:t xml:space="preserve">Meeting </w:t>
            </w:r>
            <w:r w:rsidRPr="002E2CC4">
              <w:rPr>
                <w:rFonts w:cs="Arial"/>
                <w:b/>
                <w:szCs w:val="24"/>
              </w:rPr>
              <w:t>Minute</w:t>
            </w:r>
          </w:p>
        </w:tc>
        <w:tc>
          <w:tcPr>
            <w:tcW w:w="1196" w:type="dxa"/>
            <w:shd w:val="clear" w:color="auto" w:fill="auto"/>
            <w:vAlign w:val="center"/>
          </w:tcPr>
          <w:p w14:paraId="2207B1D0" w14:textId="6C39D2F1" w:rsidR="001B7411" w:rsidRPr="002E2CC4" w:rsidRDefault="001B7411" w:rsidP="00701A48">
            <w:pPr>
              <w:spacing w:line="240" w:lineRule="auto"/>
              <w:jc w:val="center"/>
              <w:rPr>
                <w:rFonts w:cs="Arial"/>
                <w:szCs w:val="24"/>
              </w:rPr>
            </w:pPr>
            <w:r w:rsidRPr="002E2CC4">
              <w:rPr>
                <w:rFonts w:cs="Arial"/>
                <w:szCs w:val="24"/>
              </w:rPr>
              <w:t>Page</w:t>
            </w:r>
            <w:r w:rsidR="00701A48">
              <w:rPr>
                <w:rFonts w:cs="Arial"/>
                <w:szCs w:val="24"/>
              </w:rPr>
              <w:t xml:space="preserve"> 16</w:t>
            </w:r>
            <w:r w:rsidR="00263EF1">
              <w:rPr>
                <w:rFonts w:cs="Arial"/>
                <w:szCs w:val="24"/>
              </w:rPr>
              <w:t xml:space="preserve"> </w:t>
            </w:r>
          </w:p>
        </w:tc>
      </w:tr>
    </w:tbl>
    <w:p w14:paraId="17F9E5D4" w14:textId="77777777" w:rsidR="008811E6" w:rsidRPr="00073518" w:rsidRDefault="008811E6" w:rsidP="008811E6">
      <w:pPr>
        <w:spacing w:line="240" w:lineRule="auto"/>
        <w:jc w:val="left"/>
        <w:rPr>
          <w:rFonts w:cs="Arial"/>
          <w:b/>
          <w:sz w:val="28"/>
          <w:szCs w:val="28"/>
        </w:rPr>
      </w:pPr>
    </w:p>
    <w:p w14:paraId="68F2A24C" w14:textId="77777777" w:rsidR="008811E6" w:rsidRPr="00073518" w:rsidRDefault="008811E6" w:rsidP="008811E6">
      <w:pPr>
        <w:spacing w:line="240" w:lineRule="auto"/>
        <w:jc w:val="left"/>
        <w:rPr>
          <w:rFonts w:cs="Arial"/>
          <w:b/>
          <w:sz w:val="28"/>
          <w:szCs w:val="28"/>
        </w:rPr>
      </w:pPr>
    </w:p>
    <w:p w14:paraId="3F4924DC" w14:textId="77777777" w:rsidR="008811E6" w:rsidRPr="00073518" w:rsidRDefault="008811E6" w:rsidP="008811E6">
      <w:pPr>
        <w:spacing w:line="240" w:lineRule="auto"/>
        <w:jc w:val="left"/>
        <w:rPr>
          <w:rFonts w:cs="Arial"/>
          <w:b/>
          <w:sz w:val="28"/>
          <w:szCs w:val="28"/>
        </w:rPr>
      </w:pPr>
    </w:p>
    <w:p w14:paraId="7417F14C" w14:textId="77777777" w:rsidR="008811E6" w:rsidRPr="00073518" w:rsidRDefault="008811E6" w:rsidP="008811E6">
      <w:pPr>
        <w:spacing w:line="240" w:lineRule="auto"/>
        <w:jc w:val="left"/>
        <w:rPr>
          <w:rFonts w:cs="Arial"/>
          <w:b/>
          <w:sz w:val="28"/>
          <w:szCs w:val="28"/>
        </w:rPr>
      </w:pPr>
    </w:p>
    <w:p w14:paraId="5590E798" w14:textId="77777777" w:rsidR="008811E6" w:rsidRPr="00073518" w:rsidRDefault="008811E6" w:rsidP="008811E6">
      <w:pPr>
        <w:spacing w:line="240" w:lineRule="auto"/>
        <w:jc w:val="left"/>
        <w:rPr>
          <w:rFonts w:cs="Arial"/>
          <w:b/>
          <w:sz w:val="28"/>
          <w:szCs w:val="28"/>
        </w:rPr>
      </w:pPr>
    </w:p>
    <w:p w14:paraId="33119D24" w14:textId="77777777" w:rsidR="008811E6" w:rsidRPr="00073518" w:rsidRDefault="008811E6" w:rsidP="008811E6">
      <w:pPr>
        <w:spacing w:line="240" w:lineRule="auto"/>
        <w:jc w:val="left"/>
        <w:rPr>
          <w:rFonts w:cs="Arial"/>
          <w:b/>
          <w:sz w:val="28"/>
          <w:szCs w:val="28"/>
        </w:rPr>
      </w:pPr>
    </w:p>
    <w:p w14:paraId="45C64FA2" w14:textId="77777777" w:rsidR="008811E6" w:rsidRPr="00073518" w:rsidRDefault="008811E6" w:rsidP="008811E6">
      <w:pPr>
        <w:spacing w:line="240" w:lineRule="auto"/>
        <w:jc w:val="left"/>
        <w:rPr>
          <w:rFonts w:cs="Arial"/>
          <w:b/>
          <w:sz w:val="28"/>
          <w:szCs w:val="28"/>
        </w:rPr>
      </w:pPr>
    </w:p>
    <w:p w14:paraId="63E9E6B8" w14:textId="77777777" w:rsidR="008811E6" w:rsidRPr="00073518" w:rsidRDefault="008811E6" w:rsidP="008811E6">
      <w:pPr>
        <w:spacing w:line="240" w:lineRule="auto"/>
        <w:jc w:val="left"/>
        <w:rPr>
          <w:rFonts w:cs="Arial"/>
          <w:b/>
          <w:sz w:val="28"/>
          <w:szCs w:val="28"/>
        </w:rPr>
      </w:pPr>
    </w:p>
    <w:p w14:paraId="1F451E20" w14:textId="77777777" w:rsidR="008811E6" w:rsidRPr="00073518" w:rsidRDefault="008811E6" w:rsidP="008811E6">
      <w:pPr>
        <w:spacing w:line="240" w:lineRule="auto"/>
        <w:jc w:val="left"/>
        <w:rPr>
          <w:rFonts w:cs="Arial"/>
          <w:b/>
          <w:sz w:val="28"/>
          <w:szCs w:val="28"/>
        </w:rPr>
      </w:pPr>
    </w:p>
    <w:p w14:paraId="39A18013" w14:textId="77777777" w:rsidR="008811E6" w:rsidRPr="00073518" w:rsidRDefault="008811E6" w:rsidP="008811E6">
      <w:pPr>
        <w:spacing w:line="240" w:lineRule="auto"/>
        <w:jc w:val="left"/>
        <w:rPr>
          <w:rFonts w:cs="Arial"/>
          <w:b/>
          <w:sz w:val="28"/>
          <w:szCs w:val="28"/>
        </w:rPr>
      </w:pPr>
    </w:p>
    <w:p w14:paraId="03BB3990" w14:textId="77777777" w:rsidR="008811E6" w:rsidRPr="00073518" w:rsidRDefault="008811E6" w:rsidP="008811E6">
      <w:pPr>
        <w:spacing w:line="240" w:lineRule="auto"/>
        <w:jc w:val="left"/>
        <w:rPr>
          <w:rFonts w:cs="Arial"/>
          <w:b/>
          <w:sz w:val="28"/>
          <w:szCs w:val="28"/>
        </w:rPr>
      </w:pPr>
    </w:p>
    <w:p w14:paraId="409C08ED" w14:textId="77777777" w:rsidR="008811E6" w:rsidRPr="00073518" w:rsidRDefault="008811E6" w:rsidP="008811E6">
      <w:pPr>
        <w:spacing w:line="240" w:lineRule="auto"/>
        <w:jc w:val="left"/>
        <w:rPr>
          <w:rFonts w:cs="Arial"/>
          <w:b/>
          <w:sz w:val="28"/>
          <w:szCs w:val="28"/>
        </w:rPr>
      </w:pPr>
    </w:p>
    <w:p w14:paraId="3D0F4E1B" w14:textId="77777777" w:rsidR="008811E6" w:rsidRPr="00073518" w:rsidRDefault="008811E6" w:rsidP="008811E6">
      <w:pPr>
        <w:spacing w:line="240" w:lineRule="auto"/>
        <w:jc w:val="left"/>
        <w:rPr>
          <w:rFonts w:cs="Arial"/>
          <w:b/>
          <w:sz w:val="28"/>
          <w:szCs w:val="28"/>
        </w:rPr>
      </w:pPr>
    </w:p>
    <w:p w14:paraId="0F342BC4" w14:textId="77777777" w:rsidR="008811E6" w:rsidRPr="00073518" w:rsidRDefault="008811E6" w:rsidP="008811E6">
      <w:pPr>
        <w:spacing w:line="240" w:lineRule="auto"/>
        <w:jc w:val="left"/>
        <w:rPr>
          <w:rFonts w:cs="Arial"/>
          <w:b/>
          <w:sz w:val="28"/>
          <w:szCs w:val="28"/>
        </w:rPr>
      </w:pPr>
    </w:p>
    <w:p w14:paraId="5F7FBC64" w14:textId="77777777" w:rsidR="008811E6" w:rsidRPr="00073518" w:rsidRDefault="008811E6" w:rsidP="008811E6">
      <w:pPr>
        <w:spacing w:line="240" w:lineRule="auto"/>
        <w:jc w:val="left"/>
        <w:rPr>
          <w:rFonts w:cs="Arial"/>
          <w:b/>
          <w:sz w:val="28"/>
          <w:szCs w:val="28"/>
        </w:rPr>
      </w:pPr>
    </w:p>
    <w:p w14:paraId="426B3F64" w14:textId="77777777" w:rsidR="008811E6" w:rsidRPr="00073518" w:rsidRDefault="008811E6" w:rsidP="008811E6">
      <w:pPr>
        <w:spacing w:line="240" w:lineRule="auto"/>
        <w:jc w:val="left"/>
        <w:rPr>
          <w:rFonts w:cs="Arial"/>
          <w:b/>
          <w:sz w:val="28"/>
          <w:szCs w:val="28"/>
        </w:rPr>
      </w:pPr>
    </w:p>
    <w:p w14:paraId="276BAADC" w14:textId="77777777" w:rsidR="008811E6" w:rsidRPr="00073518" w:rsidRDefault="008811E6" w:rsidP="008811E6">
      <w:pPr>
        <w:spacing w:line="240" w:lineRule="auto"/>
        <w:jc w:val="left"/>
        <w:rPr>
          <w:rFonts w:cs="Arial"/>
          <w:b/>
          <w:sz w:val="28"/>
          <w:szCs w:val="28"/>
        </w:rPr>
      </w:pPr>
    </w:p>
    <w:p w14:paraId="688670FE" w14:textId="02238117" w:rsidR="008811E6" w:rsidRDefault="008811E6" w:rsidP="008811E6">
      <w:pPr>
        <w:spacing w:line="240" w:lineRule="auto"/>
        <w:jc w:val="left"/>
        <w:rPr>
          <w:rFonts w:cs="Arial"/>
          <w:b/>
          <w:sz w:val="28"/>
          <w:szCs w:val="28"/>
        </w:rPr>
      </w:pPr>
      <w:bookmarkStart w:id="0" w:name="_GoBack"/>
      <w:bookmarkEnd w:id="0"/>
    </w:p>
    <w:p w14:paraId="271BF353" w14:textId="0C1973BD" w:rsidR="00D31269" w:rsidRDefault="00D31269" w:rsidP="008811E6">
      <w:pPr>
        <w:spacing w:line="240" w:lineRule="auto"/>
        <w:jc w:val="left"/>
        <w:rPr>
          <w:rFonts w:cs="Arial"/>
          <w:b/>
          <w:sz w:val="28"/>
          <w:szCs w:val="28"/>
        </w:rPr>
      </w:pPr>
    </w:p>
    <w:p w14:paraId="4779C079" w14:textId="77777777" w:rsidR="00D31269" w:rsidRPr="00073518" w:rsidRDefault="00D31269" w:rsidP="008811E6">
      <w:pPr>
        <w:spacing w:line="240" w:lineRule="auto"/>
        <w:jc w:val="left"/>
        <w:rPr>
          <w:rFonts w:cs="Arial"/>
          <w:b/>
          <w:sz w:val="28"/>
          <w:szCs w:val="28"/>
        </w:rPr>
      </w:pPr>
    </w:p>
    <w:p w14:paraId="08A9AD86" w14:textId="77777777" w:rsidR="008811E6" w:rsidRDefault="008811E6" w:rsidP="008811E6">
      <w:pPr>
        <w:spacing w:line="240" w:lineRule="auto"/>
        <w:jc w:val="left"/>
        <w:rPr>
          <w:rFonts w:cs="Arial"/>
          <w:b/>
          <w:sz w:val="28"/>
          <w:szCs w:val="28"/>
        </w:rPr>
      </w:pPr>
    </w:p>
    <w:p w14:paraId="70729AB5" w14:textId="77777777" w:rsidR="00624E39" w:rsidRDefault="00624E39" w:rsidP="008811E6">
      <w:pPr>
        <w:spacing w:line="240" w:lineRule="auto"/>
        <w:jc w:val="left"/>
        <w:rPr>
          <w:rFonts w:cs="Arial"/>
          <w:b/>
          <w:sz w:val="28"/>
          <w:szCs w:val="28"/>
        </w:rPr>
      </w:pPr>
    </w:p>
    <w:p w14:paraId="0E110813" w14:textId="087C656E" w:rsidR="008811E6" w:rsidRPr="00073518" w:rsidRDefault="008811E6" w:rsidP="008811E6">
      <w:pPr>
        <w:spacing w:line="240" w:lineRule="auto"/>
        <w:jc w:val="left"/>
        <w:rPr>
          <w:rFonts w:cs="Arial"/>
          <w:b/>
          <w:sz w:val="28"/>
          <w:szCs w:val="28"/>
        </w:rPr>
      </w:pPr>
      <w:r w:rsidRPr="00073518">
        <w:rPr>
          <w:rFonts w:cs="Arial"/>
          <w:b/>
          <w:sz w:val="28"/>
          <w:szCs w:val="28"/>
        </w:rPr>
        <w:lastRenderedPageBreak/>
        <w:t>Introduction</w:t>
      </w:r>
    </w:p>
    <w:p w14:paraId="3E6F7DAB" w14:textId="77777777" w:rsidR="008811E6" w:rsidRPr="00073518" w:rsidRDefault="008811E6" w:rsidP="008811E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14:paraId="5634EEDF" w14:textId="1743B793" w:rsidR="008811E6" w:rsidRPr="007B1560" w:rsidRDefault="008811E6" w:rsidP="007B1560">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cs="Arial"/>
          <w:szCs w:val="24"/>
          <w:lang w:eastAsia="en-GB"/>
        </w:rPr>
      </w:pPr>
      <w:r w:rsidRPr="007B1560">
        <w:rPr>
          <w:rFonts w:cs="Arial"/>
          <w:szCs w:val="24"/>
          <w:lang w:eastAsia="en-GB"/>
        </w:rPr>
        <w:t>Land and Buildings Transaction Tax (</w:t>
      </w:r>
      <w:proofErr w:type="spellStart"/>
      <w:r w:rsidRPr="007B1560">
        <w:rPr>
          <w:rFonts w:cs="Arial"/>
          <w:szCs w:val="24"/>
          <w:lang w:eastAsia="en-GB"/>
        </w:rPr>
        <w:t>LBTT</w:t>
      </w:r>
      <w:proofErr w:type="spellEnd"/>
      <w:r w:rsidRPr="007B1560">
        <w:rPr>
          <w:rFonts w:cs="Arial"/>
          <w:szCs w:val="24"/>
          <w:lang w:eastAsia="en-GB"/>
        </w:rPr>
        <w:t>) introduced by the Land and Buildings Transaction Tax (Scotland) (Act) 2013 (‘the Act’) replaced UK Stamp Duty Land Tax (</w:t>
      </w:r>
      <w:proofErr w:type="spellStart"/>
      <w:r w:rsidRPr="007B1560">
        <w:rPr>
          <w:rFonts w:cs="Arial"/>
          <w:szCs w:val="24"/>
          <w:lang w:eastAsia="en-GB"/>
        </w:rPr>
        <w:t>SDLT</w:t>
      </w:r>
      <w:proofErr w:type="spellEnd"/>
      <w:r w:rsidRPr="007B1560">
        <w:rPr>
          <w:rFonts w:cs="Arial"/>
          <w:szCs w:val="24"/>
          <w:lang w:eastAsia="en-GB"/>
        </w:rPr>
        <w:t>) in Scotland from 1 April 2015.  It is a tax applied to residential and non-residential land and buildings transactions (including non-residential leases) where there is an acquisition of a chargeable interest.</w:t>
      </w:r>
      <w:r w:rsidR="00163BF0" w:rsidRPr="007B1560">
        <w:rPr>
          <w:rFonts w:cs="Arial"/>
          <w:szCs w:val="24"/>
          <w:lang w:eastAsia="en-GB"/>
        </w:rPr>
        <w:t xml:space="preserve"> </w:t>
      </w:r>
    </w:p>
    <w:p w14:paraId="47BCD47A" w14:textId="77777777" w:rsidR="008811E6" w:rsidRPr="00073518" w:rsidRDefault="008811E6" w:rsidP="007B156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14:paraId="32C00DC6" w14:textId="27BDD2C6" w:rsidR="00F43460" w:rsidRPr="007B1560" w:rsidRDefault="00F43460" w:rsidP="007B1560">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cs="Arial"/>
          <w:szCs w:val="24"/>
          <w:lang w:eastAsia="en-GB"/>
        </w:rPr>
      </w:pPr>
      <w:r w:rsidRPr="007B1560">
        <w:rPr>
          <w:rFonts w:cs="Arial"/>
          <w:szCs w:val="24"/>
          <w:lang w:eastAsia="en-GB"/>
        </w:rPr>
        <w:t xml:space="preserve">A consultation on </w:t>
      </w:r>
      <w:proofErr w:type="spellStart"/>
      <w:r w:rsidRPr="007B1560">
        <w:rPr>
          <w:rFonts w:cs="Arial"/>
          <w:i/>
          <w:szCs w:val="24"/>
          <w:lang w:eastAsia="en-GB"/>
        </w:rPr>
        <w:t>LBTT</w:t>
      </w:r>
      <w:proofErr w:type="spellEnd"/>
      <w:r w:rsidRPr="007B1560">
        <w:rPr>
          <w:rFonts w:cs="Arial"/>
          <w:i/>
          <w:szCs w:val="24"/>
          <w:lang w:eastAsia="en-GB"/>
        </w:rPr>
        <w:t xml:space="preserve"> – Property Investment Funds</w:t>
      </w:r>
      <w:r w:rsidRPr="007B1560">
        <w:rPr>
          <w:rFonts w:cs="Arial"/>
          <w:szCs w:val="24"/>
          <w:lang w:eastAsia="en-GB"/>
        </w:rPr>
        <w:t xml:space="preserve"> was launched 3 May 2018 to gather views from the property sector, investors and other interested stakeholders on the potential introduction of a relief from </w:t>
      </w:r>
      <w:proofErr w:type="spellStart"/>
      <w:r w:rsidRPr="007B1560">
        <w:rPr>
          <w:rFonts w:cs="Arial"/>
          <w:szCs w:val="24"/>
          <w:lang w:eastAsia="en-GB"/>
        </w:rPr>
        <w:t>LBTT</w:t>
      </w:r>
      <w:proofErr w:type="spellEnd"/>
      <w:r w:rsidRPr="007B1560">
        <w:rPr>
          <w:rFonts w:cs="Arial"/>
          <w:szCs w:val="24"/>
          <w:lang w:eastAsia="en-GB"/>
        </w:rPr>
        <w:t xml:space="preserve"> for the transfer</w:t>
      </w:r>
      <w:r w:rsidR="00AD3BF3" w:rsidRPr="007B1560">
        <w:rPr>
          <w:rFonts w:cs="Arial"/>
          <w:szCs w:val="24"/>
          <w:lang w:eastAsia="en-GB"/>
        </w:rPr>
        <w:t xml:space="preserve"> (s</w:t>
      </w:r>
      <w:r w:rsidR="001018BC" w:rsidRPr="007B1560">
        <w:rPr>
          <w:rFonts w:cs="Arial"/>
          <w:szCs w:val="24"/>
          <w:lang w:eastAsia="en-GB"/>
        </w:rPr>
        <w:t>e</w:t>
      </w:r>
      <w:r w:rsidR="00AD3BF3" w:rsidRPr="007B1560">
        <w:rPr>
          <w:rFonts w:cs="Arial"/>
          <w:szCs w:val="24"/>
          <w:lang w:eastAsia="en-GB"/>
        </w:rPr>
        <w:t>eding)</w:t>
      </w:r>
      <w:r w:rsidRPr="007B1560">
        <w:rPr>
          <w:rFonts w:cs="Arial"/>
          <w:szCs w:val="24"/>
          <w:lang w:eastAsia="en-GB"/>
        </w:rPr>
        <w:t xml:space="preserve"> of properties into </w:t>
      </w:r>
      <w:r w:rsidR="001018BC" w:rsidRPr="007B1560">
        <w:rPr>
          <w:rFonts w:cs="Arial"/>
          <w:szCs w:val="24"/>
          <w:lang w:eastAsia="en-GB"/>
        </w:rPr>
        <w:t xml:space="preserve">certain collective authorised </w:t>
      </w:r>
      <w:r w:rsidRPr="007B1560">
        <w:rPr>
          <w:rFonts w:cs="Arial"/>
          <w:szCs w:val="24"/>
          <w:lang w:eastAsia="en-GB"/>
        </w:rPr>
        <w:t>investment schemes</w:t>
      </w:r>
      <w:r w:rsidR="001018BC" w:rsidRPr="007B1560">
        <w:rPr>
          <w:rFonts w:cs="Arial"/>
          <w:szCs w:val="24"/>
          <w:lang w:eastAsia="en-GB"/>
        </w:rPr>
        <w:t xml:space="preserve"> namely Property Authorised Investment Funds (</w:t>
      </w:r>
      <w:proofErr w:type="spellStart"/>
      <w:r w:rsidR="001018BC" w:rsidRPr="007B1560">
        <w:rPr>
          <w:rFonts w:cs="Arial"/>
          <w:szCs w:val="24"/>
          <w:lang w:eastAsia="en-GB"/>
        </w:rPr>
        <w:t>PIAF’s</w:t>
      </w:r>
      <w:proofErr w:type="spellEnd"/>
      <w:r w:rsidR="001018BC" w:rsidRPr="007B1560">
        <w:rPr>
          <w:rFonts w:cs="Arial"/>
          <w:szCs w:val="24"/>
          <w:lang w:eastAsia="en-GB"/>
        </w:rPr>
        <w:t>) a type of Open Ended Investment Company de</w:t>
      </w:r>
      <w:r w:rsidR="00450D12">
        <w:rPr>
          <w:rFonts w:cs="Arial"/>
          <w:szCs w:val="24"/>
          <w:lang w:eastAsia="en-GB"/>
        </w:rPr>
        <w:t xml:space="preserve">signed for property investment </w:t>
      </w:r>
      <w:r w:rsidRPr="007B1560">
        <w:rPr>
          <w:rFonts w:cs="Arial"/>
          <w:szCs w:val="24"/>
          <w:lang w:eastAsia="en-GB"/>
        </w:rPr>
        <w:t xml:space="preserve">and the </w:t>
      </w:r>
      <w:r w:rsidR="001018BC" w:rsidRPr="007B1560">
        <w:rPr>
          <w:rFonts w:cs="Arial"/>
          <w:szCs w:val="24"/>
          <w:lang w:eastAsia="en-GB"/>
        </w:rPr>
        <w:t>wider treatment of Co-ownership Contractual Schemes (</w:t>
      </w:r>
      <w:proofErr w:type="spellStart"/>
      <w:r w:rsidR="001018BC" w:rsidRPr="007B1560">
        <w:rPr>
          <w:rFonts w:cs="Arial"/>
          <w:szCs w:val="24"/>
          <w:lang w:eastAsia="en-GB"/>
        </w:rPr>
        <w:t>CoACS</w:t>
      </w:r>
      <w:proofErr w:type="spellEnd"/>
      <w:r w:rsidR="001018BC" w:rsidRPr="007B1560">
        <w:rPr>
          <w:rFonts w:cs="Arial"/>
          <w:szCs w:val="24"/>
          <w:lang w:eastAsia="en-GB"/>
        </w:rPr>
        <w:t>)</w:t>
      </w:r>
      <w:r w:rsidRPr="007B1560">
        <w:rPr>
          <w:rFonts w:cs="Arial"/>
          <w:szCs w:val="24"/>
          <w:lang w:eastAsia="en-GB"/>
        </w:rPr>
        <w:t xml:space="preserve">.   </w:t>
      </w:r>
    </w:p>
    <w:p w14:paraId="7BADAAA4" w14:textId="4E73A76F" w:rsidR="008811E6" w:rsidRDefault="008811E6" w:rsidP="007B156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14:paraId="6F31A04E" w14:textId="77777777" w:rsidR="008975EF" w:rsidRDefault="008975EF" w:rsidP="007B1560">
      <w:pPr>
        <w:pStyle w:val="ListParagraph"/>
        <w:numPr>
          <w:ilvl w:val="0"/>
          <w:numId w:val="19"/>
        </w:numPr>
        <w:tabs>
          <w:tab w:val="clear" w:pos="720"/>
          <w:tab w:val="left" w:pos="851"/>
        </w:tabs>
        <w:ind w:left="0" w:firstLine="0"/>
        <w:rPr>
          <w:rFonts w:cs="Arial"/>
          <w:color w:val="000000"/>
          <w:szCs w:val="24"/>
          <w:lang w:val="en"/>
        </w:rPr>
      </w:pPr>
      <w:r>
        <w:rPr>
          <w:rFonts w:cs="Arial"/>
          <w:szCs w:val="24"/>
        </w:rPr>
        <w:t xml:space="preserve">This consultation follows the </w:t>
      </w:r>
      <w:r w:rsidRPr="00B628FB">
        <w:rPr>
          <w:rFonts w:cs="Arial"/>
          <w:color w:val="000000"/>
          <w:szCs w:val="24"/>
          <w:lang w:val="en"/>
        </w:rPr>
        <w:t xml:space="preserve">introducing in </w:t>
      </w:r>
      <w:r>
        <w:rPr>
          <w:rFonts w:cs="Arial"/>
          <w:color w:val="000000"/>
          <w:szCs w:val="24"/>
          <w:lang w:val="en"/>
        </w:rPr>
        <w:t xml:space="preserve">September 2015 </w:t>
      </w:r>
      <w:r>
        <w:rPr>
          <w:rFonts w:cs="Arial"/>
          <w:szCs w:val="24"/>
        </w:rPr>
        <w:t xml:space="preserve">of </w:t>
      </w:r>
      <w:r w:rsidRPr="00B628FB">
        <w:rPr>
          <w:rFonts w:cs="Arial"/>
          <w:color w:val="000000"/>
          <w:szCs w:val="24"/>
          <w:lang w:val="en"/>
        </w:rPr>
        <w:t>an exemption</w:t>
      </w:r>
      <w:r>
        <w:rPr>
          <w:rFonts w:cs="Arial"/>
          <w:color w:val="000000"/>
          <w:szCs w:val="24"/>
          <w:lang w:val="en"/>
        </w:rPr>
        <w:t>,</w:t>
      </w:r>
      <w:r w:rsidRPr="00B628FB">
        <w:rPr>
          <w:rFonts w:cs="Arial"/>
          <w:color w:val="000000"/>
          <w:szCs w:val="24"/>
          <w:lang w:val="en"/>
        </w:rPr>
        <w:t xml:space="preserve"> by way of a </w:t>
      </w:r>
      <w:r>
        <w:rPr>
          <w:rFonts w:cs="Arial"/>
          <w:color w:val="000000"/>
          <w:szCs w:val="24"/>
          <w:lang w:val="en"/>
        </w:rPr>
        <w:t>claimable seeding relief</w:t>
      </w:r>
      <w:r w:rsidRPr="00B628FB">
        <w:rPr>
          <w:rFonts w:cs="Arial"/>
          <w:color w:val="000000"/>
          <w:szCs w:val="24"/>
          <w:lang w:val="en"/>
        </w:rPr>
        <w:t>, for properties held by</w:t>
      </w:r>
      <w:r w:rsidRPr="00AD3BF3">
        <w:rPr>
          <w:rFonts w:cs="Arial"/>
          <w:color w:val="000000"/>
          <w:szCs w:val="24"/>
        </w:rPr>
        <w:t xml:space="preserve"> Authorised</w:t>
      </w:r>
      <w:r w:rsidRPr="00B628FB">
        <w:rPr>
          <w:rFonts w:cs="Arial"/>
          <w:color w:val="000000"/>
          <w:szCs w:val="24"/>
          <w:lang w:val="en"/>
        </w:rPr>
        <w:t xml:space="preserve"> Unit Trusts (</w:t>
      </w:r>
      <w:proofErr w:type="spellStart"/>
      <w:r w:rsidRPr="00B628FB">
        <w:rPr>
          <w:rFonts w:cs="Arial"/>
          <w:color w:val="000000"/>
          <w:szCs w:val="24"/>
          <w:lang w:val="en"/>
        </w:rPr>
        <w:t>AUT’s</w:t>
      </w:r>
      <w:proofErr w:type="spellEnd"/>
      <w:r w:rsidRPr="00B628FB">
        <w:rPr>
          <w:rFonts w:cs="Arial"/>
          <w:color w:val="000000"/>
          <w:szCs w:val="24"/>
          <w:lang w:val="en"/>
        </w:rPr>
        <w:t>) converting or amalgamating with an Open Ended Investment Compan</w:t>
      </w:r>
      <w:r>
        <w:rPr>
          <w:rFonts w:cs="Arial"/>
          <w:color w:val="000000"/>
          <w:szCs w:val="24"/>
          <w:lang w:val="en"/>
        </w:rPr>
        <w:t>y.</w:t>
      </w:r>
      <w:r w:rsidRPr="00B628FB">
        <w:rPr>
          <w:rFonts w:cs="Arial"/>
          <w:szCs w:val="24"/>
        </w:rPr>
        <w:t xml:space="preserve"> </w:t>
      </w:r>
      <w:r>
        <w:rPr>
          <w:rFonts w:cs="Arial"/>
          <w:szCs w:val="24"/>
        </w:rPr>
        <w:t xml:space="preserve">Seeding in this consultation means the initial transfer of property or an existing property portfolio into a new or empty fund. </w:t>
      </w:r>
    </w:p>
    <w:p w14:paraId="5DDFC573" w14:textId="57EB27CE" w:rsidR="008975EF" w:rsidRPr="00B628FB" w:rsidRDefault="008975EF" w:rsidP="007B1560">
      <w:pPr>
        <w:pStyle w:val="ListParagraph"/>
        <w:tabs>
          <w:tab w:val="clear" w:pos="720"/>
          <w:tab w:val="left" w:pos="851"/>
        </w:tabs>
        <w:ind w:left="0"/>
        <w:rPr>
          <w:rFonts w:cs="Arial"/>
          <w:szCs w:val="24"/>
        </w:rPr>
      </w:pPr>
    </w:p>
    <w:p w14:paraId="1024A80A" w14:textId="0FF4A958" w:rsidR="00191189" w:rsidRDefault="00191189" w:rsidP="007B1560">
      <w:pPr>
        <w:pStyle w:val="NoSpacing"/>
        <w:numPr>
          <w:ilvl w:val="0"/>
          <w:numId w:val="19"/>
        </w:numPr>
        <w:ind w:left="0" w:firstLine="0"/>
        <w:rPr>
          <w:rFonts w:eastAsiaTheme="minorHAnsi" w:cs="Arial"/>
          <w:szCs w:val="24"/>
        </w:rPr>
      </w:pPr>
      <w:r w:rsidRPr="00073518">
        <w:rPr>
          <w:rFonts w:eastAsiaTheme="minorHAnsi"/>
        </w:rPr>
        <w:t>The Scottish Government would like to thank all resp</w:t>
      </w:r>
      <w:r>
        <w:rPr>
          <w:rFonts w:eastAsiaTheme="minorHAnsi"/>
        </w:rPr>
        <w:t xml:space="preserve">ondents for their contributions.  </w:t>
      </w:r>
      <w:r w:rsidRPr="00073518">
        <w:rPr>
          <w:rFonts w:eastAsiaTheme="minorHAnsi" w:cs="Arial"/>
          <w:szCs w:val="24"/>
        </w:rPr>
        <w:t xml:space="preserve">Where permission </w:t>
      </w:r>
      <w:r>
        <w:rPr>
          <w:rFonts w:eastAsiaTheme="minorHAnsi" w:cs="Arial"/>
          <w:szCs w:val="24"/>
        </w:rPr>
        <w:t>has been granted,</w:t>
      </w:r>
      <w:r w:rsidRPr="00073518">
        <w:rPr>
          <w:rFonts w:eastAsiaTheme="minorHAnsi" w:cs="Arial"/>
          <w:szCs w:val="24"/>
        </w:rPr>
        <w:t xml:space="preserve"> responses </w:t>
      </w:r>
      <w:r>
        <w:rPr>
          <w:rFonts w:eastAsiaTheme="minorHAnsi" w:cs="Arial"/>
          <w:szCs w:val="24"/>
        </w:rPr>
        <w:t>have</w:t>
      </w:r>
      <w:r w:rsidRPr="00073518">
        <w:rPr>
          <w:rFonts w:eastAsiaTheme="minorHAnsi" w:cs="Arial"/>
          <w:szCs w:val="24"/>
        </w:rPr>
        <w:t xml:space="preserve"> be</w:t>
      </w:r>
      <w:r>
        <w:rPr>
          <w:rFonts w:eastAsiaTheme="minorHAnsi" w:cs="Arial"/>
          <w:szCs w:val="24"/>
        </w:rPr>
        <w:t>en</w:t>
      </w:r>
      <w:r w:rsidRPr="00073518">
        <w:rPr>
          <w:rFonts w:eastAsiaTheme="minorHAnsi" w:cs="Arial"/>
          <w:szCs w:val="24"/>
        </w:rPr>
        <w:t xml:space="preserve"> published in full on the Scottish Government Consultation Hub website.</w:t>
      </w:r>
    </w:p>
    <w:p w14:paraId="38115170" w14:textId="77777777" w:rsidR="00191189" w:rsidRPr="00D10676" w:rsidRDefault="00191189" w:rsidP="007B1560">
      <w:pPr>
        <w:pStyle w:val="NoSpacing"/>
        <w:rPr>
          <w:b/>
          <w:sz w:val="28"/>
          <w:szCs w:val="28"/>
        </w:rPr>
      </w:pPr>
    </w:p>
    <w:p w14:paraId="2BD714FE" w14:textId="1300DE4C" w:rsidR="001D4C8C" w:rsidRPr="007B1560" w:rsidRDefault="00F43460" w:rsidP="007B1560">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cs="Arial"/>
          <w:szCs w:val="24"/>
          <w:lang w:eastAsia="en-GB"/>
        </w:rPr>
      </w:pPr>
      <w:r w:rsidRPr="007B1560">
        <w:rPr>
          <w:rFonts w:cs="Arial"/>
          <w:szCs w:val="24"/>
          <w:lang w:eastAsia="en-GB"/>
        </w:rPr>
        <w:t xml:space="preserve">The Scottish approach to taxation </w:t>
      </w:r>
      <w:r w:rsidR="00AD3BF3" w:rsidRPr="007B1560">
        <w:rPr>
          <w:rFonts w:cs="Arial"/>
          <w:szCs w:val="24"/>
          <w:lang w:eastAsia="en-GB"/>
        </w:rPr>
        <w:t xml:space="preserve">enshrines the principles </w:t>
      </w:r>
      <w:r w:rsidRPr="007B1560">
        <w:rPr>
          <w:rFonts w:cs="Arial"/>
          <w:szCs w:val="24"/>
          <w:lang w:eastAsia="en-GB"/>
        </w:rPr>
        <w:t xml:space="preserve">that </w:t>
      </w:r>
      <w:r w:rsidR="00AD3BF3" w:rsidRPr="007B1560">
        <w:rPr>
          <w:rFonts w:cs="Arial"/>
          <w:szCs w:val="24"/>
          <w:lang w:eastAsia="en-GB"/>
        </w:rPr>
        <w:t xml:space="preserve">tax </w:t>
      </w:r>
      <w:r w:rsidRPr="007B1560">
        <w:rPr>
          <w:rFonts w:cs="Arial"/>
          <w:szCs w:val="24"/>
          <w:lang w:eastAsia="en-GB"/>
        </w:rPr>
        <w:t>legislation is better alig</w:t>
      </w:r>
      <w:r w:rsidR="008975EF" w:rsidRPr="007B1560">
        <w:rPr>
          <w:rFonts w:cs="Arial"/>
          <w:szCs w:val="24"/>
          <w:lang w:eastAsia="en-GB"/>
        </w:rPr>
        <w:t>ned with Scots law and practice</w:t>
      </w:r>
      <w:r w:rsidRPr="007B1560">
        <w:rPr>
          <w:rFonts w:cs="Arial"/>
          <w:szCs w:val="24"/>
          <w:lang w:eastAsia="en-GB"/>
        </w:rPr>
        <w:t xml:space="preserve"> and that tax reliefs or exemptions are available only </w:t>
      </w:r>
      <w:r w:rsidR="00AD3BF3" w:rsidRPr="007B1560">
        <w:rPr>
          <w:rFonts w:cs="Arial"/>
          <w:szCs w:val="24"/>
          <w:lang w:eastAsia="en-GB"/>
        </w:rPr>
        <w:t xml:space="preserve">introduced </w:t>
      </w:r>
      <w:r w:rsidRPr="007B1560">
        <w:rPr>
          <w:rFonts w:cs="Arial"/>
          <w:szCs w:val="24"/>
          <w:lang w:eastAsia="en-GB"/>
        </w:rPr>
        <w:t xml:space="preserve">when </w:t>
      </w:r>
      <w:r w:rsidR="001D4C8C" w:rsidRPr="007B1560">
        <w:rPr>
          <w:rFonts w:cs="Arial"/>
          <w:szCs w:val="24"/>
          <w:lang w:eastAsia="en-GB"/>
        </w:rPr>
        <w:t xml:space="preserve">clear </w:t>
      </w:r>
      <w:r w:rsidRPr="007B1560">
        <w:rPr>
          <w:rFonts w:cs="Arial"/>
          <w:szCs w:val="24"/>
          <w:lang w:eastAsia="en-GB"/>
        </w:rPr>
        <w:t xml:space="preserve">evidence supports the need for them.  Scottish Ministers have made a clear commitment to take all reasonable steps to reduce the risk of artificial avoidance of the devolved taxes to foster tax compliance and safeguard public finances.  </w:t>
      </w:r>
    </w:p>
    <w:p w14:paraId="61463762" w14:textId="1D96A02C" w:rsidR="009E0C6B" w:rsidRPr="00073518" w:rsidRDefault="009E0C6B" w:rsidP="007B156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14:paraId="50785734" w14:textId="2107E624" w:rsidR="008811E6" w:rsidRPr="007B1560" w:rsidRDefault="008811E6" w:rsidP="007B1560">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eastAsiaTheme="minorHAnsi" w:cs="Arial"/>
          <w:szCs w:val="24"/>
        </w:rPr>
      </w:pPr>
      <w:r w:rsidRPr="007B1560">
        <w:rPr>
          <w:rFonts w:eastAsiaTheme="minorHAnsi"/>
        </w:rPr>
        <w:t>This report presents an overview of findings from t</w:t>
      </w:r>
      <w:r w:rsidR="00163BF0" w:rsidRPr="007B1560">
        <w:rPr>
          <w:rFonts w:eastAsiaTheme="minorHAnsi"/>
        </w:rPr>
        <w:t>he analysis of responses to the</w:t>
      </w:r>
      <w:r w:rsidRPr="007B1560">
        <w:rPr>
          <w:rFonts w:eastAsiaTheme="minorHAnsi"/>
        </w:rPr>
        <w:t xml:space="preserve"> consultation</w:t>
      </w:r>
      <w:r w:rsidR="00A94550" w:rsidRPr="007B1560">
        <w:rPr>
          <w:rFonts w:eastAsiaTheme="minorHAnsi"/>
        </w:rPr>
        <w:t xml:space="preserve"> and</w:t>
      </w:r>
      <w:r w:rsidRPr="007B1560">
        <w:rPr>
          <w:rFonts w:eastAsiaTheme="minorHAnsi"/>
        </w:rPr>
        <w:t xml:space="preserve"> sets</w:t>
      </w:r>
      <w:r w:rsidRPr="00073518">
        <w:t xml:space="preserve"> </w:t>
      </w:r>
      <w:r w:rsidRPr="007B1560">
        <w:rPr>
          <w:rFonts w:eastAsiaTheme="minorHAnsi"/>
        </w:rPr>
        <w:t>out the Scottish Government’s response</w:t>
      </w:r>
      <w:r w:rsidR="00191189" w:rsidRPr="007B1560">
        <w:rPr>
          <w:rFonts w:eastAsiaTheme="minorHAnsi"/>
        </w:rPr>
        <w:t xml:space="preserve"> at the end of the document</w:t>
      </w:r>
      <w:r w:rsidRPr="007B1560">
        <w:rPr>
          <w:rFonts w:eastAsiaTheme="minorHAnsi"/>
        </w:rPr>
        <w:t>.</w:t>
      </w:r>
    </w:p>
    <w:p w14:paraId="33B64906" w14:textId="77777777" w:rsidR="008811E6" w:rsidRPr="00073518" w:rsidRDefault="008811E6" w:rsidP="008811E6">
      <w:pPr>
        <w:pStyle w:val="NoSpacing"/>
      </w:pPr>
    </w:p>
    <w:p w14:paraId="3E8DC4FE" w14:textId="77777777" w:rsidR="008811E6" w:rsidRPr="00073518" w:rsidRDefault="008811E6" w:rsidP="008811E6">
      <w:pPr>
        <w:spacing w:line="240" w:lineRule="auto"/>
        <w:jc w:val="left"/>
        <w:rPr>
          <w:rFonts w:cs="Arial"/>
          <w:b/>
          <w:sz w:val="28"/>
          <w:szCs w:val="28"/>
        </w:rPr>
      </w:pPr>
    </w:p>
    <w:p w14:paraId="1498A634" w14:textId="77777777" w:rsidR="00EA6573" w:rsidRDefault="00EA6573">
      <w:pPr>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b/>
          <w:caps/>
          <w:sz w:val="28"/>
          <w:szCs w:val="28"/>
        </w:rPr>
      </w:pPr>
      <w:r>
        <w:rPr>
          <w:rFonts w:ascii="Arial Bold" w:hAnsi="Arial Bold" w:cs="Arial"/>
          <w:b/>
          <w:caps/>
          <w:sz w:val="28"/>
          <w:szCs w:val="28"/>
        </w:rPr>
        <w:br w:type="page"/>
      </w:r>
    </w:p>
    <w:p w14:paraId="5FCB1B6A" w14:textId="62132C55" w:rsidR="008811E6" w:rsidRPr="0077139F" w:rsidRDefault="008811E6" w:rsidP="008811E6">
      <w:pPr>
        <w:spacing w:line="240" w:lineRule="auto"/>
        <w:jc w:val="left"/>
        <w:rPr>
          <w:rFonts w:ascii="Arial Bold" w:hAnsi="Arial Bold" w:cs="Arial"/>
          <w:b/>
          <w:caps/>
          <w:sz w:val="28"/>
          <w:szCs w:val="28"/>
        </w:rPr>
      </w:pPr>
      <w:r w:rsidRPr="0077139F">
        <w:rPr>
          <w:rFonts w:ascii="Arial Bold" w:hAnsi="Arial Bold" w:cs="Arial"/>
          <w:b/>
          <w:caps/>
          <w:sz w:val="28"/>
          <w:szCs w:val="28"/>
        </w:rPr>
        <w:lastRenderedPageBreak/>
        <w:t xml:space="preserve">Executive summary </w:t>
      </w:r>
    </w:p>
    <w:p w14:paraId="0DE794DE" w14:textId="77777777" w:rsidR="008811E6" w:rsidRPr="0077139F" w:rsidRDefault="008811E6" w:rsidP="008811E6">
      <w:pPr>
        <w:spacing w:line="240" w:lineRule="auto"/>
        <w:jc w:val="left"/>
        <w:rPr>
          <w:rFonts w:cs="Arial"/>
        </w:rPr>
      </w:pPr>
    </w:p>
    <w:p w14:paraId="557BFA21" w14:textId="522D9EE2" w:rsidR="00DF6B87" w:rsidRDefault="00DF6B87" w:rsidP="00E120FE">
      <w:pPr>
        <w:pStyle w:val="ListParagraph"/>
        <w:numPr>
          <w:ilvl w:val="0"/>
          <w:numId w:val="19"/>
        </w:numPr>
        <w:tabs>
          <w:tab w:val="clear" w:pos="720"/>
          <w:tab w:val="left" w:pos="567"/>
        </w:tabs>
        <w:spacing w:line="240" w:lineRule="auto"/>
        <w:ind w:left="0" w:firstLine="0"/>
        <w:jc w:val="left"/>
        <w:rPr>
          <w:rFonts w:cs="Arial"/>
          <w:szCs w:val="24"/>
        </w:rPr>
      </w:pPr>
      <w:r w:rsidRPr="00DF6B87">
        <w:rPr>
          <w:rFonts w:cs="Arial"/>
          <w:szCs w:val="24"/>
        </w:rPr>
        <w:t xml:space="preserve">The purpose of the consultation was to ensure that Scottish Ministers have a full and accurate understanding of the operation of these collective property investment vehicles and </w:t>
      </w:r>
      <w:r>
        <w:rPr>
          <w:rFonts w:cs="Arial"/>
          <w:szCs w:val="24"/>
        </w:rPr>
        <w:t>th</w:t>
      </w:r>
      <w:r w:rsidRPr="00DF6B87">
        <w:rPr>
          <w:rFonts w:cs="Arial"/>
          <w:szCs w:val="24"/>
        </w:rPr>
        <w:t xml:space="preserve">e role </w:t>
      </w:r>
      <w:r>
        <w:rPr>
          <w:rFonts w:cs="Arial"/>
          <w:szCs w:val="24"/>
        </w:rPr>
        <w:t xml:space="preserve">they </w:t>
      </w:r>
      <w:r w:rsidRPr="00DF6B87">
        <w:rPr>
          <w:rFonts w:cs="Arial"/>
          <w:szCs w:val="24"/>
        </w:rPr>
        <w:t>play in</w:t>
      </w:r>
      <w:r>
        <w:rPr>
          <w:rFonts w:cs="Arial"/>
          <w:szCs w:val="24"/>
        </w:rPr>
        <w:t xml:space="preserve"> real</w:t>
      </w:r>
      <w:r w:rsidRPr="00DF6B87">
        <w:rPr>
          <w:rFonts w:cs="Arial"/>
          <w:szCs w:val="24"/>
        </w:rPr>
        <w:t xml:space="preserve"> economy, including </w:t>
      </w:r>
      <w:r>
        <w:rPr>
          <w:rFonts w:cs="Arial"/>
          <w:szCs w:val="24"/>
        </w:rPr>
        <w:t>the asset management</w:t>
      </w:r>
      <w:r w:rsidRPr="00DF6B87">
        <w:rPr>
          <w:rFonts w:cs="Arial"/>
          <w:szCs w:val="24"/>
        </w:rPr>
        <w:t xml:space="preserve">, construction and </w:t>
      </w:r>
      <w:r>
        <w:rPr>
          <w:rFonts w:cs="Arial"/>
          <w:szCs w:val="24"/>
        </w:rPr>
        <w:t xml:space="preserve">property sectors. Lastly key driver for consulting was to establish </w:t>
      </w:r>
      <w:r w:rsidRPr="00DF6B87">
        <w:rPr>
          <w:rFonts w:cs="Arial"/>
          <w:szCs w:val="24"/>
        </w:rPr>
        <w:t>the likely consequences for these sectors and the wider economy if a re</w:t>
      </w:r>
      <w:r>
        <w:rPr>
          <w:rFonts w:cs="Arial"/>
          <w:szCs w:val="24"/>
        </w:rPr>
        <w:t>lief were or were not available.</w:t>
      </w:r>
    </w:p>
    <w:p w14:paraId="627FB327" w14:textId="77777777" w:rsidR="00DF6B87" w:rsidRPr="00DF6B87" w:rsidRDefault="00DF6B87" w:rsidP="00DF6B87">
      <w:pPr>
        <w:pStyle w:val="ListParagraph"/>
        <w:tabs>
          <w:tab w:val="clear" w:pos="720"/>
          <w:tab w:val="left" w:pos="567"/>
        </w:tabs>
        <w:spacing w:line="240" w:lineRule="auto"/>
        <w:ind w:left="0"/>
        <w:jc w:val="left"/>
        <w:rPr>
          <w:rFonts w:cs="Arial"/>
          <w:szCs w:val="24"/>
        </w:rPr>
      </w:pPr>
    </w:p>
    <w:p w14:paraId="29C74617" w14:textId="24E3DAC4" w:rsidR="008811E6" w:rsidRPr="007B1560" w:rsidRDefault="0077139F" w:rsidP="00DF6B87">
      <w:pPr>
        <w:pStyle w:val="ListParagraph"/>
        <w:numPr>
          <w:ilvl w:val="0"/>
          <w:numId w:val="19"/>
        </w:numPr>
        <w:tabs>
          <w:tab w:val="clear" w:pos="720"/>
          <w:tab w:val="left" w:pos="567"/>
        </w:tabs>
        <w:spacing w:line="240" w:lineRule="auto"/>
        <w:ind w:left="0" w:firstLine="0"/>
        <w:jc w:val="left"/>
        <w:rPr>
          <w:rFonts w:cs="Arial"/>
          <w:szCs w:val="24"/>
        </w:rPr>
      </w:pPr>
      <w:r w:rsidRPr="007B1560">
        <w:rPr>
          <w:rFonts w:cs="Arial"/>
        </w:rPr>
        <w:t>The consultation ran from 3 March to 3 August 2018. Fifteen</w:t>
      </w:r>
      <w:r w:rsidR="008811E6" w:rsidRPr="007B1560">
        <w:rPr>
          <w:rFonts w:cs="Arial"/>
        </w:rPr>
        <w:t xml:space="preserve"> responses were r</w:t>
      </w:r>
      <w:r w:rsidRPr="007B1560">
        <w:rPr>
          <w:rFonts w:cs="Arial"/>
        </w:rPr>
        <w:t>eceived in total</w:t>
      </w:r>
      <w:r w:rsidR="006C2817" w:rsidRPr="007B1560">
        <w:rPr>
          <w:rFonts w:cs="Arial"/>
        </w:rPr>
        <w:t xml:space="preserve"> with o</w:t>
      </w:r>
      <w:r w:rsidRPr="007B1560">
        <w:rPr>
          <w:rFonts w:cs="Arial"/>
          <w:szCs w:val="24"/>
        </w:rPr>
        <w:t>ne respondent</w:t>
      </w:r>
      <w:r w:rsidR="008811E6" w:rsidRPr="007B1560">
        <w:rPr>
          <w:rFonts w:cs="Arial"/>
          <w:szCs w:val="24"/>
        </w:rPr>
        <w:t xml:space="preserve"> wish</w:t>
      </w:r>
      <w:r w:rsidR="006C2817" w:rsidRPr="007B1560">
        <w:rPr>
          <w:rFonts w:cs="Arial"/>
          <w:szCs w:val="24"/>
        </w:rPr>
        <w:t xml:space="preserve">ing to remain </w:t>
      </w:r>
      <w:r w:rsidRPr="007B1560">
        <w:rPr>
          <w:rFonts w:cs="Arial"/>
          <w:szCs w:val="24"/>
        </w:rPr>
        <w:t>anonymous</w:t>
      </w:r>
      <w:r w:rsidR="008811E6" w:rsidRPr="007B1560">
        <w:rPr>
          <w:rFonts w:cs="Arial"/>
          <w:szCs w:val="24"/>
        </w:rPr>
        <w:t xml:space="preserve">.  </w:t>
      </w:r>
      <w:r w:rsidR="00C4674C">
        <w:rPr>
          <w:rFonts w:cs="Arial"/>
          <w:szCs w:val="24"/>
        </w:rPr>
        <w:t xml:space="preserve">Three responses where received by the </w:t>
      </w:r>
      <w:r w:rsidR="007B699F">
        <w:rPr>
          <w:rFonts w:cs="Arial"/>
          <w:szCs w:val="24"/>
        </w:rPr>
        <w:t>Financial Services industry,</w:t>
      </w:r>
      <w:r w:rsidR="00C4674C">
        <w:rPr>
          <w:rFonts w:cs="Arial"/>
          <w:szCs w:val="24"/>
        </w:rPr>
        <w:t xml:space="preserve"> six</w:t>
      </w:r>
      <w:r w:rsidR="007B699F">
        <w:rPr>
          <w:rFonts w:cs="Arial"/>
          <w:szCs w:val="24"/>
        </w:rPr>
        <w:t xml:space="preserve"> responses from professional law and accountancy sector</w:t>
      </w:r>
      <w:r w:rsidR="00C4674C">
        <w:rPr>
          <w:rFonts w:cs="Arial"/>
          <w:szCs w:val="24"/>
        </w:rPr>
        <w:t>, four from professional bodies</w:t>
      </w:r>
      <w:r w:rsidR="007B699F">
        <w:rPr>
          <w:rFonts w:cs="Arial"/>
          <w:szCs w:val="24"/>
        </w:rPr>
        <w:t xml:space="preserve"> and </w:t>
      </w:r>
      <w:r w:rsidR="00C4674C">
        <w:rPr>
          <w:rFonts w:cs="Arial"/>
          <w:szCs w:val="24"/>
        </w:rPr>
        <w:t>two responses from trade bodies (including the Scottish Property Federation).</w:t>
      </w:r>
      <w:r w:rsidR="007B699F">
        <w:rPr>
          <w:rFonts w:cs="Arial"/>
          <w:szCs w:val="24"/>
        </w:rPr>
        <w:t xml:space="preserve">   </w:t>
      </w:r>
      <w:r w:rsidR="008811E6" w:rsidRPr="007B1560">
        <w:rPr>
          <w:rFonts w:cs="Arial"/>
          <w:szCs w:val="24"/>
        </w:rPr>
        <w:t>A list of respondent</w:t>
      </w:r>
      <w:r w:rsidR="006C2817" w:rsidRPr="007B1560">
        <w:rPr>
          <w:rFonts w:cs="Arial"/>
          <w:szCs w:val="24"/>
        </w:rPr>
        <w:t>s</w:t>
      </w:r>
      <w:r w:rsidR="008811E6" w:rsidRPr="007B1560">
        <w:rPr>
          <w:rFonts w:cs="Arial"/>
          <w:szCs w:val="24"/>
        </w:rPr>
        <w:t xml:space="preserve"> is available in </w:t>
      </w:r>
      <w:r w:rsidR="008811E6" w:rsidRPr="007B1560">
        <w:rPr>
          <w:rFonts w:cs="Arial"/>
          <w:b/>
          <w:szCs w:val="24"/>
        </w:rPr>
        <w:t>Annex A</w:t>
      </w:r>
      <w:r w:rsidR="008811E6" w:rsidRPr="007B1560">
        <w:rPr>
          <w:rFonts w:cs="Arial"/>
          <w:szCs w:val="24"/>
        </w:rPr>
        <w:t xml:space="preserve">.  </w:t>
      </w:r>
      <w:r w:rsidR="00AD3BF3" w:rsidRPr="007B1560">
        <w:rPr>
          <w:rFonts w:cs="Arial"/>
          <w:szCs w:val="24"/>
        </w:rPr>
        <w:t xml:space="preserve">The Scottish Government also held a stake holder event on the 3 September 2018, a minute of this meeting can be found in </w:t>
      </w:r>
      <w:r w:rsidR="00AD3BF3" w:rsidRPr="007B1560">
        <w:rPr>
          <w:rFonts w:cs="Arial"/>
          <w:b/>
          <w:szCs w:val="24"/>
        </w:rPr>
        <w:t xml:space="preserve">Annex </w:t>
      </w:r>
      <w:r w:rsidR="007B1560" w:rsidRPr="007B1560">
        <w:rPr>
          <w:rFonts w:cs="Arial"/>
          <w:b/>
          <w:szCs w:val="24"/>
        </w:rPr>
        <w:t>B</w:t>
      </w:r>
      <w:r w:rsidR="00AD3BF3" w:rsidRPr="007B1560">
        <w:rPr>
          <w:rFonts w:cs="Arial"/>
          <w:szCs w:val="24"/>
        </w:rPr>
        <w:t>.</w:t>
      </w:r>
    </w:p>
    <w:p w14:paraId="5CD8B938" w14:textId="385B5236" w:rsidR="00191189" w:rsidRDefault="00191189" w:rsidP="007B1560">
      <w:pPr>
        <w:tabs>
          <w:tab w:val="clear" w:pos="720"/>
          <w:tab w:val="clear" w:pos="1440"/>
          <w:tab w:val="clear" w:pos="2160"/>
          <w:tab w:val="clear" w:pos="2880"/>
          <w:tab w:val="clear" w:pos="4680"/>
          <w:tab w:val="clear" w:pos="5400"/>
          <w:tab w:val="clear" w:pos="9000"/>
          <w:tab w:val="left" w:pos="567"/>
        </w:tabs>
        <w:spacing w:line="240" w:lineRule="auto"/>
        <w:jc w:val="left"/>
        <w:rPr>
          <w:rFonts w:cs="Arial"/>
          <w:szCs w:val="24"/>
          <w:highlight w:val="yellow"/>
        </w:rPr>
      </w:pPr>
    </w:p>
    <w:p w14:paraId="01468385" w14:textId="38471ED2" w:rsidR="001819D7" w:rsidRPr="007B1560" w:rsidRDefault="008811E6" w:rsidP="00DF6B87">
      <w:pPr>
        <w:pStyle w:val="ListParagraph"/>
        <w:numPr>
          <w:ilvl w:val="0"/>
          <w:numId w:val="19"/>
        </w:numPr>
        <w:tabs>
          <w:tab w:val="clear" w:pos="720"/>
          <w:tab w:val="left" w:pos="567"/>
        </w:tabs>
        <w:spacing w:line="240" w:lineRule="auto"/>
        <w:ind w:left="0" w:firstLine="0"/>
        <w:jc w:val="left"/>
        <w:rPr>
          <w:rFonts w:cs="Arial"/>
          <w:szCs w:val="24"/>
        </w:rPr>
      </w:pPr>
      <w:r w:rsidRPr="007B1560">
        <w:rPr>
          <w:rFonts w:cs="Arial"/>
          <w:szCs w:val="24"/>
        </w:rPr>
        <w:t xml:space="preserve">The consultation set out </w:t>
      </w:r>
      <w:r w:rsidR="0077139F" w:rsidRPr="007B1560">
        <w:rPr>
          <w:rFonts w:cs="Arial"/>
          <w:szCs w:val="24"/>
        </w:rPr>
        <w:t>twenty</w:t>
      </w:r>
      <w:r w:rsidRPr="007B1560">
        <w:rPr>
          <w:rFonts w:cs="Arial"/>
          <w:szCs w:val="24"/>
        </w:rPr>
        <w:t xml:space="preserve"> questions and sought </w:t>
      </w:r>
      <w:r w:rsidR="001819D7" w:rsidRPr="007B1560">
        <w:rPr>
          <w:rFonts w:cs="Arial"/>
          <w:szCs w:val="24"/>
        </w:rPr>
        <w:t xml:space="preserve">views on proposals for a </w:t>
      </w:r>
      <w:r w:rsidR="00191189" w:rsidRPr="007B1560">
        <w:rPr>
          <w:rFonts w:cs="Arial"/>
          <w:szCs w:val="24"/>
        </w:rPr>
        <w:t>s</w:t>
      </w:r>
      <w:r w:rsidR="001819D7" w:rsidRPr="007B1560">
        <w:rPr>
          <w:rFonts w:cs="Arial"/>
          <w:szCs w:val="24"/>
        </w:rPr>
        <w:t xml:space="preserve">eeding relief for </w:t>
      </w:r>
      <w:r w:rsidR="00800720" w:rsidRPr="007B1560">
        <w:rPr>
          <w:rFonts w:cs="Arial"/>
          <w:szCs w:val="24"/>
        </w:rPr>
        <w:t xml:space="preserve">Property </w:t>
      </w:r>
      <w:r w:rsidR="00800720" w:rsidRPr="007B1560">
        <w:rPr>
          <w:rFonts w:cs="Arial"/>
          <w:bCs/>
          <w:szCs w:val="24"/>
          <w:lang w:eastAsia="en-GB"/>
        </w:rPr>
        <w:t>Authorised Investment Funds (</w:t>
      </w:r>
      <w:proofErr w:type="spellStart"/>
      <w:r w:rsidR="00800720" w:rsidRPr="007B1560">
        <w:rPr>
          <w:rFonts w:cs="Arial"/>
          <w:bCs/>
          <w:szCs w:val="24"/>
          <w:lang w:eastAsia="en-GB"/>
        </w:rPr>
        <w:t>PAIF’s</w:t>
      </w:r>
      <w:proofErr w:type="spellEnd"/>
      <w:r w:rsidR="00800720" w:rsidRPr="007B1560">
        <w:rPr>
          <w:rFonts w:cs="Arial"/>
          <w:bCs/>
          <w:szCs w:val="24"/>
          <w:lang w:eastAsia="en-GB"/>
        </w:rPr>
        <w:t>) and Co-ownership Authorised Contractual Schemes</w:t>
      </w:r>
      <w:r w:rsidR="001819D7" w:rsidRPr="007B1560">
        <w:rPr>
          <w:rFonts w:cs="Arial"/>
          <w:szCs w:val="24"/>
        </w:rPr>
        <w:t xml:space="preserve"> </w:t>
      </w:r>
      <w:r w:rsidR="00800720" w:rsidRPr="007B1560">
        <w:rPr>
          <w:rFonts w:cs="Arial"/>
          <w:szCs w:val="24"/>
        </w:rPr>
        <w:t>(</w:t>
      </w:r>
      <w:proofErr w:type="spellStart"/>
      <w:r w:rsidR="001819D7" w:rsidRPr="007B1560">
        <w:rPr>
          <w:rFonts w:cs="Arial"/>
          <w:szCs w:val="24"/>
        </w:rPr>
        <w:t>CoACS</w:t>
      </w:r>
      <w:proofErr w:type="spellEnd"/>
      <w:r w:rsidR="00800720" w:rsidRPr="007B1560">
        <w:rPr>
          <w:rFonts w:cs="Arial"/>
          <w:szCs w:val="24"/>
        </w:rPr>
        <w:t>)</w:t>
      </w:r>
      <w:r w:rsidR="001819D7" w:rsidRPr="007B1560">
        <w:rPr>
          <w:rFonts w:cs="Arial"/>
          <w:szCs w:val="24"/>
        </w:rPr>
        <w:t xml:space="preserve">, opinions and insights on the </w:t>
      </w:r>
      <w:proofErr w:type="spellStart"/>
      <w:r w:rsidR="001819D7" w:rsidRPr="007B1560">
        <w:rPr>
          <w:rFonts w:cs="Arial"/>
          <w:szCs w:val="24"/>
        </w:rPr>
        <w:t>LBTT</w:t>
      </w:r>
      <w:proofErr w:type="spellEnd"/>
      <w:r w:rsidR="001819D7" w:rsidRPr="007B1560">
        <w:rPr>
          <w:rFonts w:cs="Arial"/>
          <w:szCs w:val="24"/>
        </w:rPr>
        <w:t xml:space="preserve"> treatment of </w:t>
      </w:r>
      <w:proofErr w:type="spellStart"/>
      <w:r w:rsidR="001819D7" w:rsidRPr="007B1560">
        <w:rPr>
          <w:rFonts w:cs="Arial"/>
          <w:szCs w:val="24"/>
        </w:rPr>
        <w:t>CoACS</w:t>
      </w:r>
      <w:proofErr w:type="spellEnd"/>
      <w:r w:rsidR="00191189" w:rsidRPr="007B1560">
        <w:rPr>
          <w:rFonts w:cs="Arial"/>
          <w:szCs w:val="24"/>
        </w:rPr>
        <w:t>,</w:t>
      </w:r>
      <w:r w:rsidR="001819D7" w:rsidRPr="007B1560">
        <w:rPr>
          <w:rFonts w:cs="Arial"/>
          <w:szCs w:val="24"/>
        </w:rPr>
        <w:t xml:space="preserve"> the</w:t>
      </w:r>
      <w:r w:rsidR="006C2817" w:rsidRPr="007B1560">
        <w:rPr>
          <w:rFonts w:cs="Arial"/>
          <w:szCs w:val="24"/>
        </w:rPr>
        <w:t xml:space="preserve"> potential </w:t>
      </w:r>
      <w:r w:rsidR="008975EF" w:rsidRPr="007B1560">
        <w:rPr>
          <w:rFonts w:cs="Arial"/>
          <w:szCs w:val="24"/>
        </w:rPr>
        <w:t>for ta</w:t>
      </w:r>
      <w:r w:rsidR="006C2817" w:rsidRPr="007B1560">
        <w:rPr>
          <w:rFonts w:cs="Arial"/>
          <w:szCs w:val="24"/>
        </w:rPr>
        <w:t xml:space="preserve">x </w:t>
      </w:r>
      <w:r w:rsidR="008975EF" w:rsidRPr="007B1560">
        <w:rPr>
          <w:rFonts w:cs="Arial"/>
          <w:szCs w:val="24"/>
        </w:rPr>
        <w:t>a</w:t>
      </w:r>
      <w:r w:rsidR="006C2817" w:rsidRPr="007B1560">
        <w:rPr>
          <w:rFonts w:cs="Arial"/>
          <w:szCs w:val="24"/>
        </w:rPr>
        <w:t xml:space="preserve">voidance issues, </w:t>
      </w:r>
      <w:r w:rsidR="001819D7" w:rsidRPr="007B1560">
        <w:rPr>
          <w:rFonts w:cs="Arial"/>
          <w:szCs w:val="24"/>
        </w:rPr>
        <w:t xml:space="preserve">the technical aspects of a seeding relief and finally the possible impact </w:t>
      </w:r>
      <w:r w:rsidR="008975EF" w:rsidRPr="007B1560">
        <w:rPr>
          <w:rFonts w:cs="Arial"/>
          <w:szCs w:val="24"/>
        </w:rPr>
        <w:t>of a</w:t>
      </w:r>
      <w:r w:rsidR="00191189" w:rsidRPr="007B1560">
        <w:rPr>
          <w:rFonts w:cs="Arial"/>
          <w:szCs w:val="24"/>
        </w:rPr>
        <w:t xml:space="preserve"> possible</w:t>
      </w:r>
      <w:r w:rsidR="008975EF" w:rsidRPr="007B1560">
        <w:rPr>
          <w:rFonts w:cs="Arial"/>
          <w:szCs w:val="24"/>
        </w:rPr>
        <w:t xml:space="preserve"> relief </w:t>
      </w:r>
      <w:r w:rsidR="00191189" w:rsidRPr="007B1560">
        <w:rPr>
          <w:rFonts w:cs="Arial"/>
          <w:szCs w:val="24"/>
        </w:rPr>
        <w:t>on h</w:t>
      </w:r>
      <w:r w:rsidR="001819D7" w:rsidRPr="007B1560">
        <w:rPr>
          <w:rFonts w:cs="Arial"/>
          <w:szCs w:val="24"/>
        </w:rPr>
        <w:t xml:space="preserve">uman </w:t>
      </w:r>
      <w:r w:rsidR="00191189" w:rsidRPr="007B1560">
        <w:rPr>
          <w:rFonts w:cs="Arial"/>
          <w:szCs w:val="24"/>
        </w:rPr>
        <w:t>r</w:t>
      </w:r>
      <w:r w:rsidR="001819D7" w:rsidRPr="007B1560">
        <w:rPr>
          <w:rFonts w:cs="Arial"/>
          <w:szCs w:val="24"/>
        </w:rPr>
        <w:t>ights, equal opportunities,</w:t>
      </w:r>
      <w:r w:rsidR="008975EF" w:rsidRPr="007B1560">
        <w:rPr>
          <w:rFonts w:cs="Arial"/>
          <w:szCs w:val="24"/>
        </w:rPr>
        <w:t xml:space="preserve"> privacy, business,</w:t>
      </w:r>
      <w:r w:rsidR="001819D7" w:rsidRPr="007B1560">
        <w:rPr>
          <w:rFonts w:cs="Arial"/>
          <w:szCs w:val="24"/>
        </w:rPr>
        <w:t xml:space="preserve"> island communities and sustainable development in Scotland.</w:t>
      </w:r>
    </w:p>
    <w:p w14:paraId="0930478F" w14:textId="77777777" w:rsidR="008811E6" w:rsidRPr="00BB449F" w:rsidRDefault="008811E6" w:rsidP="00DF6B87">
      <w:pPr>
        <w:tabs>
          <w:tab w:val="clear" w:pos="720"/>
          <w:tab w:val="left" w:pos="567"/>
        </w:tabs>
        <w:spacing w:line="240" w:lineRule="auto"/>
        <w:jc w:val="left"/>
        <w:rPr>
          <w:rFonts w:cs="Arial"/>
          <w:szCs w:val="24"/>
          <w:highlight w:val="yellow"/>
        </w:rPr>
      </w:pPr>
    </w:p>
    <w:p w14:paraId="1C35DBF2" w14:textId="072DDA48" w:rsidR="008811E6" w:rsidRPr="007B1560" w:rsidRDefault="001819D7" w:rsidP="00DF6B87">
      <w:pPr>
        <w:pStyle w:val="ListParagraph"/>
        <w:numPr>
          <w:ilvl w:val="0"/>
          <w:numId w:val="19"/>
        </w:numPr>
        <w:tabs>
          <w:tab w:val="clear" w:pos="720"/>
          <w:tab w:val="left" w:pos="567"/>
        </w:tabs>
        <w:spacing w:line="240" w:lineRule="auto"/>
        <w:ind w:left="0" w:firstLine="0"/>
        <w:jc w:val="left"/>
        <w:rPr>
          <w:rFonts w:cs="Arial"/>
          <w:szCs w:val="24"/>
        </w:rPr>
      </w:pPr>
      <w:r w:rsidRPr="007B1560">
        <w:rPr>
          <w:rFonts w:cs="Arial"/>
          <w:szCs w:val="24"/>
        </w:rPr>
        <w:t>R</w:t>
      </w:r>
      <w:r w:rsidR="008811E6" w:rsidRPr="007B1560">
        <w:rPr>
          <w:rFonts w:cs="Arial"/>
          <w:szCs w:val="24"/>
        </w:rPr>
        <w:t xml:space="preserve">espondents </w:t>
      </w:r>
      <w:r w:rsidRPr="007B1560">
        <w:rPr>
          <w:rFonts w:cs="Arial"/>
          <w:szCs w:val="24"/>
        </w:rPr>
        <w:t>provided considerable detail</w:t>
      </w:r>
      <w:r w:rsidR="008811E6" w:rsidRPr="007B1560">
        <w:rPr>
          <w:rFonts w:cs="Arial"/>
          <w:szCs w:val="24"/>
        </w:rPr>
        <w:t xml:space="preserve"> in the</w:t>
      </w:r>
      <w:r w:rsidRPr="007B1560">
        <w:rPr>
          <w:rFonts w:cs="Arial"/>
          <w:szCs w:val="24"/>
        </w:rPr>
        <w:t>ir responses to the</w:t>
      </w:r>
      <w:r w:rsidR="008811E6" w:rsidRPr="007B1560">
        <w:rPr>
          <w:rFonts w:cs="Arial"/>
          <w:szCs w:val="24"/>
        </w:rPr>
        <w:t xml:space="preserve"> consultation</w:t>
      </w:r>
      <w:r w:rsidRPr="007B1560">
        <w:rPr>
          <w:rFonts w:cs="Arial"/>
          <w:szCs w:val="24"/>
        </w:rPr>
        <w:t xml:space="preserve"> questions </w:t>
      </w:r>
      <w:r w:rsidR="00191189" w:rsidRPr="007B1560">
        <w:rPr>
          <w:rFonts w:cs="Arial"/>
          <w:szCs w:val="24"/>
        </w:rPr>
        <w:t xml:space="preserve">an </w:t>
      </w:r>
      <w:r w:rsidR="008811E6" w:rsidRPr="007B1560">
        <w:rPr>
          <w:rFonts w:cs="Arial"/>
          <w:szCs w:val="24"/>
        </w:rPr>
        <w:t>analysis of the re</w:t>
      </w:r>
      <w:r w:rsidR="000D427B" w:rsidRPr="007B1560">
        <w:rPr>
          <w:rFonts w:cs="Arial"/>
          <w:szCs w:val="24"/>
        </w:rPr>
        <w:t xml:space="preserve">plies follows the main findings </w:t>
      </w:r>
      <w:r w:rsidR="008811E6" w:rsidRPr="007B1560">
        <w:rPr>
          <w:rFonts w:cs="Arial"/>
          <w:szCs w:val="24"/>
        </w:rPr>
        <w:t xml:space="preserve">summary below. </w:t>
      </w:r>
    </w:p>
    <w:p w14:paraId="59438B39" w14:textId="77777777" w:rsidR="008811E6" w:rsidRPr="00BB449F" w:rsidRDefault="008811E6" w:rsidP="008811E6">
      <w:pPr>
        <w:tabs>
          <w:tab w:val="clear" w:pos="720"/>
          <w:tab w:val="left" w:pos="567"/>
        </w:tabs>
        <w:spacing w:line="240" w:lineRule="auto"/>
        <w:rPr>
          <w:rFonts w:cs="Arial"/>
          <w:b/>
          <w:sz w:val="28"/>
          <w:szCs w:val="28"/>
          <w:highlight w:val="yellow"/>
        </w:rPr>
      </w:pPr>
    </w:p>
    <w:p w14:paraId="0F40E3A9" w14:textId="49049003" w:rsidR="008811E6" w:rsidRPr="001819D7" w:rsidRDefault="000D427B" w:rsidP="008811E6">
      <w:pPr>
        <w:spacing w:line="240" w:lineRule="auto"/>
        <w:jc w:val="left"/>
        <w:rPr>
          <w:rFonts w:cs="Arial"/>
          <w:szCs w:val="24"/>
          <w:u w:val="single"/>
        </w:rPr>
      </w:pPr>
      <w:r>
        <w:rPr>
          <w:rFonts w:cs="Arial"/>
          <w:szCs w:val="24"/>
          <w:u w:val="single"/>
        </w:rPr>
        <w:t>Main findings</w:t>
      </w:r>
    </w:p>
    <w:p w14:paraId="476A9360" w14:textId="77777777" w:rsidR="008811E6" w:rsidRPr="00BB449F" w:rsidRDefault="008811E6" w:rsidP="008811E6">
      <w:pPr>
        <w:tabs>
          <w:tab w:val="clear" w:pos="720"/>
          <w:tab w:val="left" w:pos="567"/>
        </w:tabs>
        <w:spacing w:line="240" w:lineRule="auto"/>
        <w:rPr>
          <w:rFonts w:cs="Arial"/>
          <w:b/>
          <w:sz w:val="28"/>
          <w:szCs w:val="28"/>
          <w:highlight w:val="yellow"/>
        </w:rPr>
      </w:pPr>
    </w:p>
    <w:p w14:paraId="5EA4A091" w14:textId="2D5F629D" w:rsidR="008811E6" w:rsidRPr="007B1560" w:rsidRDefault="008811E6" w:rsidP="00DF6B87">
      <w:pPr>
        <w:pStyle w:val="ListParagraph"/>
        <w:numPr>
          <w:ilvl w:val="0"/>
          <w:numId w:val="19"/>
        </w:numPr>
        <w:tabs>
          <w:tab w:val="clear" w:pos="720"/>
          <w:tab w:val="left" w:pos="567"/>
        </w:tabs>
        <w:spacing w:line="240" w:lineRule="auto"/>
        <w:ind w:left="0" w:firstLine="0"/>
        <w:rPr>
          <w:rFonts w:cs="Arial"/>
          <w:szCs w:val="24"/>
        </w:rPr>
      </w:pPr>
      <w:r w:rsidRPr="007B1560">
        <w:rPr>
          <w:rFonts w:cs="Arial"/>
          <w:szCs w:val="24"/>
        </w:rPr>
        <w:t xml:space="preserve">Respondents to the consultation were </w:t>
      </w:r>
      <w:r w:rsidR="006C2817" w:rsidRPr="007B1560">
        <w:rPr>
          <w:rFonts w:cs="Arial"/>
          <w:szCs w:val="24"/>
        </w:rPr>
        <w:t xml:space="preserve">strongly </w:t>
      </w:r>
      <w:r w:rsidRPr="007B1560">
        <w:rPr>
          <w:rFonts w:cs="Arial"/>
          <w:szCs w:val="24"/>
        </w:rPr>
        <w:t>in fa</w:t>
      </w:r>
      <w:r w:rsidR="00C02851" w:rsidRPr="007B1560">
        <w:rPr>
          <w:rFonts w:cs="Arial"/>
          <w:szCs w:val="24"/>
        </w:rPr>
        <w:t>vour of the Scottish Government introduc</w:t>
      </w:r>
      <w:r w:rsidR="006C2817" w:rsidRPr="007B1560">
        <w:rPr>
          <w:rFonts w:cs="Arial"/>
          <w:szCs w:val="24"/>
        </w:rPr>
        <w:t>ing</w:t>
      </w:r>
      <w:r w:rsidR="00C02851" w:rsidRPr="007B1560">
        <w:rPr>
          <w:rFonts w:cs="Arial"/>
          <w:szCs w:val="24"/>
        </w:rPr>
        <w:t xml:space="preserve"> a seeding relief for </w:t>
      </w:r>
      <w:proofErr w:type="spellStart"/>
      <w:r w:rsidR="00C02851" w:rsidRPr="007B1560">
        <w:rPr>
          <w:rFonts w:cs="Arial"/>
          <w:szCs w:val="24"/>
        </w:rPr>
        <w:t>PAIF’s</w:t>
      </w:r>
      <w:proofErr w:type="spellEnd"/>
      <w:r w:rsidR="00C02851" w:rsidRPr="007B1560">
        <w:rPr>
          <w:rFonts w:cs="Arial"/>
          <w:szCs w:val="24"/>
        </w:rPr>
        <w:t xml:space="preserve"> and </w:t>
      </w:r>
      <w:proofErr w:type="spellStart"/>
      <w:r w:rsidR="00C02851" w:rsidRPr="007B1560">
        <w:rPr>
          <w:rFonts w:cs="Arial"/>
          <w:szCs w:val="24"/>
        </w:rPr>
        <w:t>CoACS</w:t>
      </w:r>
      <w:proofErr w:type="spellEnd"/>
      <w:r w:rsidRPr="007B1560">
        <w:rPr>
          <w:rFonts w:cs="Arial"/>
          <w:szCs w:val="24"/>
        </w:rPr>
        <w:t xml:space="preserve">. There were a number of specific comments on the Scottish Government’s approach to the </w:t>
      </w:r>
      <w:r w:rsidR="00C02851" w:rsidRPr="007B1560">
        <w:rPr>
          <w:rFonts w:cs="Arial"/>
          <w:szCs w:val="24"/>
        </w:rPr>
        <w:t xml:space="preserve">proposed relief and how it would operate.  Broadly respondents expressed a desire for such a relief to be similar in scope to the </w:t>
      </w:r>
      <w:r w:rsidR="00191189" w:rsidRPr="007B1560">
        <w:rPr>
          <w:rFonts w:cs="Arial"/>
          <w:szCs w:val="24"/>
        </w:rPr>
        <w:t xml:space="preserve">equivalent relief for </w:t>
      </w:r>
      <w:proofErr w:type="spellStart"/>
      <w:r w:rsidR="00191189" w:rsidRPr="007B1560">
        <w:rPr>
          <w:rFonts w:cs="Arial"/>
          <w:szCs w:val="24"/>
        </w:rPr>
        <w:t>SDLT</w:t>
      </w:r>
      <w:proofErr w:type="spellEnd"/>
      <w:r w:rsidR="00191189" w:rsidRPr="007B1560">
        <w:rPr>
          <w:rFonts w:cs="Arial"/>
          <w:szCs w:val="24"/>
        </w:rPr>
        <w:t xml:space="preserve"> but </w:t>
      </w:r>
      <w:r w:rsidR="00C02851" w:rsidRPr="007B1560">
        <w:rPr>
          <w:rFonts w:cs="Arial"/>
          <w:szCs w:val="24"/>
        </w:rPr>
        <w:t>not copy it exactly</w:t>
      </w:r>
      <w:r w:rsidR="00191189" w:rsidRPr="007B1560">
        <w:rPr>
          <w:rFonts w:cs="Arial"/>
          <w:szCs w:val="24"/>
        </w:rPr>
        <w:t xml:space="preserve"> clawback arrangements exactly</w:t>
      </w:r>
      <w:r w:rsidRPr="007B1560">
        <w:rPr>
          <w:rFonts w:cs="Arial"/>
          <w:szCs w:val="24"/>
        </w:rPr>
        <w:t>. Key points raised by respondents included that:</w:t>
      </w:r>
    </w:p>
    <w:p w14:paraId="6CB0BA95" w14:textId="77777777" w:rsidR="008811E6" w:rsidRPr="00BB449F" w:rsidRDefault="008811E6" w:rsidP="008811E6">
      <w:pPr>
        <w:pStyle w:val="ListParagraph"/>
        <w:tabs>
          <w:tab w:val="clear" w:pos="720"/>
          <w:tab w:val="left" w:pos="567"/>
        </w:tabs>
        <w:spacing w:line="240" w:lineRule="auto"/>
        <w:rPr>
          <w:rFonts w:cs="Arial"/>
          <w:highlight w:val="yellow"/>
        </w:rPr>
      </w:pPr>
    </w:p>
    <w:p w14:paraId="52F2D326" w14:textId="0CF934E3" w:rsidR="008811E6" w:rsidRDefault="008811E6" w:rsidP="008811E6">
      <w:pPr>
        <w:pStyle w:val="ListParagraph"/>
        <w:numPr>
          <w:ilvl w:val="0"/>
          <w:numId w:val="8"/>
        </w:numPr>
        <w:tabs>
          <w:tab w:val="clear" w:pos="720"/>
          <w:tab w:val="left" w:pos="567"/>
        </w:tabs>
        <w:spacing w:line="240" w:lineRule="auto"/>
        <w:rPr>
          <w:rFonts w:cs="Arial"/>
        </w:rPr>
      </w:pPr>
      <w:r w:rsidRPr="00C02851">
        <w:rPr>
          <w:rFonts w:cs="Arial"/>
        </w:rPr>
        <w:t xml:space="preserve">the </w:t>
      </w:r>
      <w:r w:rsidR="00C02851">
        <w:rPr>
          <w:rFonts w:cs="Arial"/>
        </w:rPr>
        <w:t>Scottish Government should introduce a general seeding relief</w:t>
      </w:r>
      <w:r w:rsidR="006C2817">
        <w:rPr>
          <w:rFonts w:cs="Arial"/>
        </w:rPr>
        <w:t>;</w:t>
      </w:r>
    </w:p>
    <w:p w14:paraId="4F6E9772" w14:textId="77777777" w:rsidR="00502C00" w:rsidRPr="00C02851" w:rsidRDefault="00502C00" w:rsidP="00502C00">
      <w:pPr>
        <w:pStyle w:val="ListParagraph"/>
        <w:tabs>
          <w:tab w:val="clear" w:pos="720"/>
          <w:tab w:val="left" w:pos="567"/>
        </w:tabs>
        <w:spacing w:line="240" w:lineRule="auto"/>
        <w:ind w:left="360"/>
        <w:rPr>
          <w:rFonts w:cs="Arial"/>
        </w:rPr>
      </w:pPr>
    </w:p>
    <w:p w14:paraId="489B3DBC" w14:textId="00F815E2" w:rsidR="008811E6" w:rsidRDefault="006C2817" w:rsidP="008811E6">
      <w:pPr>
        <w:pStyle w:val="ListParagraph"/>
        <w:numPr>
          <w:ilvl w:val="0"/>
          <w:numId w:val="8"/>
        </w:numPr>
        <w:tabs>
          <w:tab w:val="clear" w:pos="720"/>
          <w:tab w:val="left" w:pos="567"/>
        </w:tabs>
        <w:spacing w:line="240" w:lineRule="auto"/>
        <w:rPr>
          <w:rFonts w:cs="Arial"/>
          <w:szCs w:val="24"/>
        </w:rPr>
      </w:pPr>
      <w:r>
        <w:rPr>
          <w:rFonts w:cs="Arial"/>
          <w:szCs w:val="24"/>
        </w:rPr>
        <w:t>parity between</w:t>
      </w:r>
      <w:r w:rsidR="00C02851">
        <w:rPr>
          <w:rFonts w:cs="Arial"/>
          <w:szCs w:val="24"/>
        </w:rPr>
        <w:t xml:space="preserve"> </w:t>
      </w:r>
      <w:r>
        <w:rPr>
          <w:rFonts w:cs="Arial"/>
          <w:szCs w:val="24"/>
        </w:rPr>
        <w:t xml:space="preserve">a </w:t>
      </w:r>
      <w:proofErr w:type="spellStart"/>
      <w:r w:rsidR="00C02851">
        <w:rPr>
          <w:rFonts w:cs="Arial"/>
          <w:szCs w:val="24"/>
        </w:rPr>
        <w:t>LBTT</w:t>
      </w:r>
      <w:proofErr w:type="spellEnd"/>
      <w:r w:rsidR="00C02851">
        <w:rPr>
          <w:rFonts w:cs="Arial"/>
          <w:szCs w:val="24"/>
        </w:rPr>
        <w:t xml:space="preserve"> seeding relief </w:t>
      </w:r>
      <w:r>
        <w:rPr>
          <w:rFonts w:cs="Arial"/>
          <w:szCs w:val="24"/>
        </w:rPr>
        <w:t xml:space="preserve">and it’s </w:t>
      </w:r>
      <w:proofErr w:type="spellStart"/>
      <w:r w:rsidR="00C02851">
        <w:rPr>
          <w:rFonts w:cs="Arial"/>
          <w:szCs w:val="24"/>
        </w:rPr>
        <w:t>SDLT</w:t>
      </w:r>
      <w:proofErr w:type="spellEnd"/>
      <w:r>
        <w:rPr>
          <w:rFonts w:cs="Arial"/>
          <w:szCs w:val="24"/>
        </w:rPr>
        <w:t xml:space="preserve"> equivalent is desirable;</w:t>
      </w:r>
    </w:p>
    <w:p w14:paraId="486C28B0" w14:textId="77777777" w:rsidR="00502C00" w:rsidRPr="00C02851" w:rsidRDefault="00502C00" w:rsidP="00502C00">
      <w:pPr>
        <w:pStyle w:val="ListParagraph"/>
        <w:tabs>
          <w:tab w:val="clear" w:pos="720"/>
          <w:tab w:val="left" w:pos="567"/>
        </w:tabs>
        <w:spacing w:line="240" w:lineRule="auto"/>
        <w:ind w:left="360"/>
        <w:rPr>
          <w:rFonts w:cs="Arial"/>
          <w:szCs w:val="24"/>
        </w:rPr>
      </w:pPr>
    </w:p>
    <w:p w14:paraId="069C227A" w14:textId="49A36AB8" w:rsidR="008811E6" w:rsidRDefault="008811E6" w:rsidP="008811E6">
      <w:pPr>
        <w:pStyle w:val="ListParagraph"/>
        <w:numPr>
          <w:ilvl w:val="0"/>
          <w:numId w:val="8"/>
        </w:numPr>
        <w:tabs>
          <w:tab w:val="clear" w:pos="720"/>
          <w:tab w:val="left" w:pos="567"/>
        </w:tabs>
        <w:spacing w:line="240" w:lineRule="auto"/>
        <w:rPr>
          <w:rFonts w:cs="Arial"/>
          <w:szCs w:val="24"/>
        </w:rPr>
      </w:pPr>
      <w:r w:rsidRPr="00C02851">
        <w:rPr>
          <w:rFonts w:cs="Arial"/>
          <w:szCs w:val="24"/>
        </w:rPr>
        <w:t>Scots Law ter</w:t>
      </w:r>
      <w:r w:rsidR="00C02851">
        <w:rPr>
          <w:rFonts w:cs="Arial"/>
          <w:szCs w:val="24"/>
        </w:rPr>
        <w:t>minology should be used for any introduced legislation</w:t>
      </w:r>
      <w:r w:rsidR="006C2817">
        <w:rPr>
          <w:rFonts w:cs="Arial"/>
          <w:szCs w:val="24"/>
        </w:rPr>
        <w:t>;</w:t>
      </w:r>
    </w:p>
    <w:p w14:paraId="1D41F428" w14:textId="77777777" w:rsidR="00502C00" w:rsidRPr="00C02851" w:rsidRDefault="00502C00" w:rsidP="00502C00">
      <w:pPr>
        <w:pStyle w:val="ListParagraph"/>
        <w:tabs>
          <w:tab w:val="clear" w:pos="720"/>
          <w:tab w:val="left" w:pos="567"/>
        </w:tabs>
        <w:spacing w:line="240" w:lineRule="auto"/>
        <w:ind w:left="360"/>
        <w:rPr>
          <w:rFonts w:cs="Arial"/>
          <w:szCs w:val="24"/>
        </w:rPr>
      </w:pPr>
    </w:p>
    <w:p w14:paraId="62E37ED5" w14:textId="52C00392" w:rsidR="002A1E96" w:rsidRDefault="008975EF" w:rsidP="002A1E96">
      <w:pPr>
        <w:pStyle w:val="ListParagraph"/>
        <w:numPr>
          <w:ilvl w:val="0"/>
          <w:numId w:val="8"/>
        </w:numPr>
        <w:tabs>
          <w:tab w:val="clear" w:pos="720"/>
          <w:tab w:val="left" w:pos="567"/>
        </w:tabs>
        <w:spacing w:line="240" w:lineRule="auto"/>
        <w:rPr>
          <w:rFonts w:cs="Arial"/>
        </w:rPr>
      </w:pPr>
      <w:r>
        <w:rPr>
          <w:rFonts w:cs="Arial"/>
        </w:rPr>
        <w:t xml:space="preserve">UK </w:t>
      </w:r>
      <w:r w:rsidR="00C02851">
        <w:rPr>
          <w:rFonts w:cs="Arial"/>
        </w:rPr>
        <w:t>Genuine diversity of Ownership (</w:t>
      </w:r>
      <w:proofErr w:type="spellStart"/>
      <w:r w:rsidR="00C02851">
        <w:rPr>
          <w:rFonts w:cs="Arial"/>
        </w:rPr>
        <w:t>GDO</w:t>
      </w:r>
      <w:proofErr w:type="spellEnd"/>
      <w:r w:rsidR="00C02851">
        <w:rPr>
          <w:rFonts w:cs="Arial"/>
        </w:rPr>
        <w:t xml:space="preserve">) </w:t>
      </w:r>
      <w:r w:rsidR="00502C00">
        <w:rPr>
          <w:rFonts w:cs="Arial"/>
        </w:rPr>
        <w:t xml:space="preserve">and portfolio rules mirroring the UK </w:t>
      </w:r>
      <w:r w:rsidR="002A1E96">
        <w:rPr>
          <w:rFonts w:cs="Arial"/>
        </w:rPr>
        <w:t>should be introduced</w:t>
      </w:r>
      <w:r w:rsidR="00502C00">
        <w:rPr>
          <w:rFonts w:cs="Arial"/>
        </w:rPr>
        <w:t xml:space="preserve"> with regards to any relief</w:t>
      </w:r>
      <w:r w:rsidR="006C2817">
        <w:rPr>
          <w:rFonts w:cs="Arial"/>
        </w:rPr>
        <w:t>;</w:t>
      </w:r>
    </w:p>
    <w:p w14:paraId="2B55DAF2" w14:textId="77777777" w:rsidR="00502C00" w:rsidRDefault="00502C00" w:rsidP="00502C00">
      <w:pPr>
        <w:pStyle w:val="ListParagraph"/>
        <w:tabs>
          <w:tab w:val="clear" w:pos="720"/>
          <w:tab w:val="left" w:pos="567"/>
        </w:tabs>
        <w:spacing w:line="240" w:lineRule="auto"/>
        <w:ind w:left="360"/>
        <w:rPr>
          <w:rFonts w:cs="Arial"/>
        </w:rPr>
      </w:pPr>
    </w:p>
    <w:p w14:paraId="67C2F2A0" w14:textId="4F1C2705" w:rsidR="00B1740A" w:rsidRDefault="00B1740A" w:rsidP="00B1740A">
      <w:pPr>
        <w:pStyle w:val="ListParagraph"/>
        <w:numPr>
          <w:ilvl w:val="0"/>
          <w:numId w:val="8"/>
        </w:numPr>
        <w:tabs>
          <w:tab w:val="clear" w:pos="720"/>
          <w:tab w:val="left" w:pos="567"/>
        </w:tabs>
        <w:spacing w:line="240" w:lineRule="auto"/>
        <w:rPr>
          <w:rFonts w:cs="Arial"/>
          <w:szCs w:val="24"/>
        </w:rPr>
      </w:pPr>
      <w:r>
        <w:rPr>
          <w:rFonts w:cs="Arial"/>
          <w:szCs w:val="24"/>
        </w:rPr>
        <w:t xml:space="preserve">Given the pan-UK nature of the funds in question respondents wanted the Scottish and UK governments to work collaboratively around the issue of claw back </w:t>
      </w:r>
      <w:r>
        <w:rPr>
          <w:rFonts w:cs="Arial"/>
          <w:szCs w:val="24"/>
        </w:rPr>
        <w:lastRenderedPageBreak/>
        <w:t xml:space="preserve">provisions however current </w:t>
      </w:r>
      <w:proofErr w:type="spellStart"/>
      <w:r>
        <w:rPr>
          <w:rFonts w:cs="Arial"/>
          <w:szCs w:val="24"/>
        </w:rPr>
        <w:t>SDLT</w:t>
      </w:r>
      <w:proofErr w:type="spellEnd"/>
      <w:r>
        <w:rPr>
          <w:rFonts w:cs="Arial"/>
          <w:szCs w:val="24"/>
        </w:rPr>
        <w:t xml:space="preserve"> should not be directly copied into </w:t>
      </w:r>
      <w:proofErr w:type="spellStart"/>
      <w:r>
        <w:rPr>
          <w:rFonts w:cs="Arial"/>
          <w:szCs w:val="24"/>
        </w:rPr>
        <w:t>LBTT</w:t>
      </w:r>
      <w:proofErr w:type="spellEnd"/>
      <w:r>
        <w:rPr>
          <w:rFonts w:cs="Arial"/>
          <w:szCs w:val="24"/>
        </w:rPr>
        <w:t xml:space="preserve"> legislation;</w:t>
      </w:r>
    </w:p>
    <w:p w14:paraId="0611B8BF" w14:textId="77777777" w:rsidR="00502C00" w:rsidRDefault="00502C00" w:rsidP="00502C00">
      <w:pPr>
        <w:pStyle w:val="ListParagraph"/>
        <w:tabs>
          <w:tab w:val="clear" w:pos="720"/>
          <w:tab w:val="left" w:pos="567"/>
        </w:tabs>
        <w:spacing w:line="240" w:lineRule="auto"/>
        <w:ind w:left="360"/>
        <w:rPr>
          <w:rFonts w:cs="Arial"/>
          <w:szCs w:val="24"/>
        </w:rPr>
      </w:pPr>
    </w:p>
    <w:p w14:paraId="780CC6A6" w14:textId="77777777" w:rsidR="00502C00" w:rsidRDefault="00502C00" w:rsidP="00502C00">
      <w:pPr>
        <w:pStyle w:val="ListParagraph"/>
        <w:numPr>
          <w:ilvl w:val="0"/>
          <w:numId w:val="20"/>
        </w:numPr>
        <w:tabs>
          <w:tab w:val="clear" w:pos="720"/>
          <w:tab w:val="left" w:pos="426"/>
          <w:tab w:val="left" w:pos="851"/>
        </w:tabs>
        <w:ind w:left="426" w:right="374" w:hanging="426"/>
        <w:rPr>
          <w:kern w:val="24"/>
        </w:rPr>
      </w:pPr>
      <w:r>
        <w:rPr>
          <w:kern w:val="24"/>
        </w:rPr>
        <w:t>Any seeding relief should apply to residential and non-residential property;</w:t>
      </w:r>
    </w:p>
    <w:p w14:paraId="1D2DD793" w14:textId="77777777" w:rsidR="00502C00" w:rsidRDefault="00502C00" w:rsidP="00502C00">
      <w:pPr>
        <w:pStyle w:val="ListParagraph"/>
        <w:tabs>
          <w:tab w:val="clear" w:pos="720"/>
          <w:tab w:val="left" w:pos="426"/>
          <w:tab w:val="left" w:pos="851"/>
        </w:tabs>
        <w:ind w:left="426" w:right="374" w:hanging="426"/>
        <w:rPr>
          <w:kern w:val="24"/>
        </w:rPr>
      </w:pPr>
    </w:p>
    <w:p w14:paraId="02B3F341" w14:textId="77777777" w:rsidR="00502C00" w:rsidRDefault="00502C00" w:rsidP="00502C00">
      <w:pPr>
        <w:pStyle w:val="ListParagraph"/>
        <w:numPr>
          <w:ilvl w:val="0"/>
          <w:numId w:val="20"/>
        </w:numPr>
        <w:tabs>
          <w:tab w:val="clear" w:pos="720"/>
          <w:tab w:val="left" w:pos="426"/>
          <w:tab w:val="left" w:pos="851"/>
        </w:tabs>
        <w:ind w:left="426" w:right="374" w:hanging="426"/>
        <w:rPr>
          <w:kern w:val="24"/>
        </w:rPr>
      </w:pPr>
      <w:proofErr w:type="spellStart"/>
      <w:r>
        <w:rPr>
          <w:kern w:val="24"/>
        </w:rPr>
        <w:t>LBTT</w:t>
      </w:r>
      <w:proofErr w:type="spellEnd"/>
      <w:r>
        <w:rPr>
          <w:kern w:val="24"/>
        </w:rPr>
        <w:t xml:space="preserve"> should be aligned with </w:t>
      </w:r>
      <w:proofErr w:type="spellStart"/>
      <w:r>
        <w:rPr>
          <w:kern w:val="24"/>
        </w:rPr>
        <w:t>SDLT</w:t>
      </w:r>
      <w:proofErr w:type="spellEnd"/>
      <w:r>
        <w:rPr>
          <w:kern w:val="24"/>
        </w:rPr>
        <w:t xml:space="preserve"> and the Welsh Land Transaction Tax in terms of its treatment of </w:t>
      </w:r>
      <w:proofErr w:type="spellStart"/>
      <w:r>
        <w:rPr>
          <w:kern w:val="24"/>
        </w:rPr>
        <w:t>CoACS</w:t>
      </w:r>
      <w:proofErr w:type="spellEnd"/>
      <w:r>
        <w:rPr>
          <w:kern w:val="24"/>
        </w:rPr>
        <w:t xml:space="preserve">; </w:t>
      </w:r>
    </w:p>
    <w:p w14:paraId="3283E307" w14:textId="77777777" w:rsidR="00502C00" w:rsidRDefault="00502C00" w:rsidP="00502C00">
      <w:pPr>
        <w:pStyle w:val="ListParagraph"/>
        <w:tabs>
          <w:tab w:val="clear" w:pos="720"/>
          <w:tab w:val="left" w:pos="426"/>
          <w:tab w:val="left" w:pos="851"/>
        </w:tabs>
        <w:ind w:left="426" w:right="374" w:hanging="426"/>
        <w:rPr>
          <w:kern w:val="24"/>
        </w:rPr>
      </w:pPr>
    </w:p>
    <w:p w14:paraId="0D9FBCAE" w14:textId="77777777" w:rsidR="00502C00" w:rsidRDefault="00502C00" w:rsidP="00502C00">
      <w:pPr>
        <w:pStyle w:val="ListParagraph"/>
        <w:numPr>
          <w:ilvl w:val="0"/>
          <w:numId w:val="20"/>
        </w:numPr>
        <w:tabs>
          <w:tab w:val="clear" w:pos="720"/>
          <w:tab w:val="left" w:pos="426"/>
          <w:tab w:val="left" w:pos="851"/>
        </w:tabs>
        <w:ind w:left="426" w:right="374" w:hanging="426"/>
        <w:rPr>
          <w:kern w:val="24"/>
        </w:rPr>
      </w:pPr>
      <w:r>
        <w:rPr>
          <w:kern w:val="24"/>
        </w:rPr>
        <w:t xml:space="preserve">The Scottish Government should consider extending any relief to other  types of investment vehicles funds where property is seeded – for example Real Estate Investment Trusts, which are often used in the same circumstances as </w:t>
      </w:r>
      <w:proofErr w:type="spellStart"/>
      <w:r>
        <w:rPr>
          <w:kern w:val="24"/>
        </w:rPr>
        <w:t>PAIFs</w:t>
      </w:r>
      <w:proofErr w:type="spellEnd"/>
      <w:r>
        <w:rPr>
          <w:kern w:val="24"/>
        </w:rPr>
        <w:t xml:space="preserve">; </w:t>
      </w:r>
    </w:p>
    <w:p w14:paraId="4416177B" w14:textId="77777777" w:rsidR="00502C00" w:rsidRDefault="00502C00" w:rsidP="00502C00">
      <w:pPr>
        <w:pStyle w:val="ListParagraph"/>
        <w:tabs>
          <w:tab w:val="clear" w:pos="720"/>
          <w:tab w:val="left" w:pos="426"/>
          <w:tab w:val="left" w:pos="851"/>
        </w:tabs>
        <w:ind w:left="426" w:right="374" w:hanging="426"/>
        <w:rPr>
          <w:kern w:val="24"/>
        </w:rPr>
      </w:pPr>
    </w:p>
    <w:p w14:paraId="1E8FB356" w14:textId="77777777" w:rsidR="00502C00" w:rsidRPr="003E2242" w:rsidRDefault="00502C00" w:rsidP="00502C00">
      <w:pPr>
        <w:pStyle w:val="ListParagraph"/>
        <w:numPr>
          <w:ilvl w:val="0"/>
          <w:numId w:val="20"/>
        </w:numPr>
        <w:tabs>
          <w:tab w:val="clear" w:pos="720"/>
          <w:tab w:val="left" w:pos="426"/>
          <w:tab w:val="left" w:pos="851"/>
        </w:tabs>
        <w:ind w:left="426" w:right="374" w:hanging="426"/>
        <w:rPr>
          <w:kern w:val="24"/>
        </w:rPr>
      </w:pPr>
      <w:r>
        <w:rPr>
          <w:kern w:val="24"/>
        </w:rPr>
        <w:t xml:space="preserve">By providing these reliefs Ministers would be helping support the attractiveness of Scottish property as an investment asset and the economic benefits of its future development, including construction; </w:t>
      </w:r>
      <w:r w:rsidRPr="003E2242">
        <w:rPr>
          <w:kern w:val="24"/>
        </w:rPr>
        <w:t>and</w:t>
      </w:r>
    </w:p>
    <w:p w14:paraId="09DFA211" w14:textId="77777777" w:rsidR="00502C00" w:rsidRPr="00246A5E" w:rsidRDefault="00502C00" w:rsidP="00502C00">
      <w:pPr>
        <w:pStyle w:val="ListParagraph"/>
        <w:tabs>
          <w:tab w:val="clear" w:pos="720"/>
          <w:tab w:val="left" w:pos="426"/>
          <w:tab w:val="left" w:pos="851"/>
        </w:tabs>
        <w:ind w:left="426" w:right="374" w:hanging="426"/>
        <w:rPr>
          <w:kern w:val="24"/>
        </w:rPr>
      </w:pPr>
    </w:p>
    <w:p w14:paraId="63592603" w14:textId="543556E7" w:rsidR="00502C00" w:rsidRDefault="00502C00" w:rsidP="00502C00">
      <w:pPr>
        <w:pStyle w:val="ListParagraph"/>
        <w:numPr>
          <w:ilvl w:val="0"/>
          <w:numId w:val="20"/>
        </w:numPr>
        <w:tabs>
          <w:tab w:val="clear" w:pos="720"/>
          <w:tab w:val="left" w:pos="426"/>
          <w:tab w:val="left" w:pos="851"/>
        </w:tabs>
        <w:ind w:left="426" w:right="374" w:hanging="426"/>
        <w:rPr>
          <w:kern w:val="24"/>
        </w:rPr>
      </w:pPr>
      <w:r>
        <w:rPr>
          <w:kern w:val="24"/>
        </w:rPr>
        <w:t xml:space="preserve">The majority of the </w:t>
      </w:r>
      <w:proofErr w:type="spellStart"/>
      <w:r>
        <w:rPr>
          <w:kern w:val="24"/>
        </w:rPr>
        <w:t>SDLT</w:t>
      </w:r>
      <w:proofErr w:type="spellEnd"/>
      <w:r>
        <w:rPr>
          <w:kern w:val="24"/>
        </w:rPr>
        <w:t xml:space="preserve"> anti-avoidance should remain (although some respondents measures should remain however g</w:t>
      </w:r>
      <w:r w:rsidRPr="00DF79A2">
        <w:rPr>
          <w:kern w:val="24"/>
        </w:rPr>
        <w:t>iven the pan-UK nature of the funds in question</w:t>
      </w:r>
      <w:r>
        <w:rPr>
          <w:kern w:val="24"/>
        </w:rPr>
        <w:t>,</w:t>
      </w:r>
      <w:r w:rsidRPr="00DF79A2">
        <w:rPr>
          <w:kern w:val="24"/>
        </w:rPr>
        <w:t xml:space="preserve"> respondents wante</w:t>
      </w:r>
      <w:r>
        <w:rPr>
          <w:kern w:val="24"/>
        </w:rPr>
        <w:t>d the Scottish and UK G</w:t>
      </w:r>
      <w:r w:rsidRPr="00DF79A2">
        <w:rPr>
          <w:kern w:val="24"/>
        </w:rPr>
        <w:t>overnments to work collaboratively around</w:t>
      </w:r>
      <w:r>
        <w:rPr>
          <w:kern w:val="24"/>
        </w:rPr>
        <w:t xml:space="preserve"> amending, what they deemed to be severe, anti-avoidance</w:t>
      </w:r>
      <w:r w:rsidRPr="00DF79A2">
        <w:rPr>
          <w:kern w:val="24"/>
        </w:rPr>
        <w:t xml:space="preserve"> clawback provisions </w:t>
      </w:r>
      <w:r>
        <w:rPr>
          <w:kern w:val="24"/>
        </w:rPr>
        <w:t>and that</w:t>
      </w:r>
      <w:r w:rsidRPr="00DF79A2">
        <w:rPr>
          <w:kern w:val="24"/>
        </w:rPr>
        <w:t xml:space="preserve"> </w:t>
      </w:r>
      <w:r>
        <w:rPr>
          <w:kern w:val="24"/>
        </w:rPr>
        <w:t xml:space="preserve">these </w:t>
      </w:r>
      <w:r w:rsidRPr="00DF79A2">
        <w:rPr>
          <w:kern w:val="24"/>
        </w:rPr>
        <w:t xml:space="preserve">should not be directly copied into </w:t>
      </w:r>
      <w:proofErr w:type="spellStart"/>
      <w:r w:rsidRPr="00DF79A2">
        <w:rPr>
          <w:kern w:val="24"/>
        </w:rPr>
        <w:t>LBTT</w:t>
      </w:r>
      <w:proofErr w:type="spellEnd"/>
      <w:r w:rsidRPr="00DF79A2">
        <w:rPr>
          <w:kern w:val="24"/>
        </w:rPr>
        <w:t xml:space="preserve"> legislation</w:t>
      </w:r>
      <w:r>
        <w:rPr>
          <w:kern w:val="24"/>
        </w:rPr>
        <w:t xml:space="preserve">. </w:t>
      </w:r>
    </w:p>
    <w:p w14:paraId="4FD92138" w14:textId="77777777" w:rsidR="008811E6" w:rsidRPr="00C02851" w:rsidRDefault="008811E6" w:rsidP="008811E6">
      <w:pPr>
        <w:pStyle w:val="ListParagraph"/>
        <w:tabs>
          <w:tab w:val="clear" w:pos="720"/>
          <w:tab w:val="left" w:pos="567"/>
        </w:tabs>
        <w:spacing w:line="240" w:lineRule="auto"/>
        <w:rPr>
          <w:rFonts w:cs="Arial"/>
          <w:szCs w:val="24"/>
        </w:rPr>
      </w:pPr>
    </w:p>
    <w:p w14:paraId="3DC1C283" w14:textId="03B7754F" w:rsidR="009612C9" w:rsidRPr="004B0BF7" w:rsidRDefault="00DF6B87" w:rsidP="004B0BF7">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eastAsiaTheme="minorHAnsi" w:cs="Arial"/>
          <w:szCs w:val="24"/>
        </w:rPr>
      </w:pPr>
      <w:r w:rsidRPr="00DF6B87">
        <w:rPr>
          <w:rFonts w:cs="Arial"/>
          <w:szCs w:val="24"/>
        </w:rPr>
        <w:t xml:space="preserve">Institutional investment activity plays a key role in supporting (primarily) the commercial property sector, itself an important sector of the economy with commercial construction, repair, maintenance and real estate contributing almost £4.8 billion to Scottish </w:t>
      </w:r>
      <w:proofErr w:type="spellStart"/>
      <w:r w:rsidRPr="00DF6B87">
        <w:rPr>
          <w:rFonts w:cs="Arial"/>
          <w:szCs w:val="24"/>
        </w:rPr>
        <w:t>GVA</w:t>
      </w:r>
      <w:proofErr w:type="spellEnd"/>
      <w:r w:rsidRPr="00DF6B87">
        <w:rPr>
          <w:rFonts w:cs="Arial"/>
          <w:szCs w:val="24"/>
        </w:rPr>
        <w:t xml:space="preserve">. This is equivalent to 3.7% of Scottish </w:t>
      </w:r>
      <w:proofErr w:type="spellStart"/>
      <w:r w:rsidRPr="00DF6B87">
        <w:rPr>
          <w:rFonts w:cs="Arial"/>
          <w:szCs w:val="24"/>
        </w:rPr>
        <w:t>GVA</w:t>
      </w:r>
      <w:proofErr w:type="spellEnd"/>
      <w:r w:rsidRPr="00DF6B87">
        <w:rPr>
          <w:rFonts w:cs="Arial"/>
          <w:szCs w:val="24"/>
        </w:rPr>
        <w:t>. Commercial property investment transactions totalled £2.8 billion in Scotland during 2017 whilst Scotland’s share of UK commercial property investment was 5.8% in 2017.  It is estimated that 55% of the commercial property sector is owned by institutional investors.</w:t>
      </w:r>
      <w:r w:rsidR="009612C9">
        <w:rPr>
          <w:rFonts w:cs="Arial"/>
          <w:szCs w:val="24"/>
        </w:rPr>
        <w:t xml:space="preserve">  </w:t>
      </w:r>
      <w:r w:rsidR="009612C9" w:rsidRPr="009612C9">
        <w:rPr>
          <w:rFonts w:cs="Arial"/>
          <w:szCs w:val="24"/>
        </w:rPr>
        <w:t>reporting that every £100 million of demand for commercial property raised a further £73 mill</w:t>
      </w:r>
      <w:r w:rsidR="009612C9">
        <w:rPr>
          <w:rFonts w:cs="Arial"/>
          <w:szCs w:val="24"/>
        </w:rPr>
        <w:t>ion contribution to the economy.</w:t>
      </w:r>
    </w:p>
    <w:p w14:paraId="4319EF84" w14:textId="77777777" w:rsidR="00DF6B87" w:rsidRPr="00DF6B87" w:rsidRDefault="00DF6B87" w:rsidP="00DF6B8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jc w:val="left"/>
        <w:rPr>
          <w:rFonts w:eastAsiaTheme="minorHAnsi" w:cs="Arial"/>
          <w:szCs w:val="24"/>
        </w:rPr>
      </w:pPr>
    </w:p>
    <w:p w14:paraId="57DC388F" w14:textId="172D621F" w:rsidR="008811E6" w:rsidRPr="007B1560" w:rsidRDefault="008811E6" w:rsidP="00DF6B87">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eastAsiaTheme="minorHAnsi" w:cs="Arial"/>
          <w:szCs w:val="24"/>
        </w:rPr>
      </w:pPr>
      <w:r w:rsidRPr="007B1560">
        <w:rPr>
          <w:rFonts w:eastAsiaTheme="minorHAnsi" w:cs="Arial"/>
          <w:szCs w:val="24"/>
        </w:rPr>
        <w:t>The Scottish Government’s response to relevant issues identified in the consultation responses and its planned future approach is set out at the end of this document.</w:t>
      </w:r>
    </w:p>
    <w:p w14:paraId="3672B046" w14:textId="77777777" w:rsidR="002A1E96" w:rsidRDefault="002A1E96" w:rsidP="00DF6B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Theme="minorHAnsi" w:cs="Arial"/>
          <w:szCs w:val="24"/>
        </w:rPr>
      </w:pPr>
    </w:p>
    <w:p w14:paraId="68E13D9A" w14:textId="6F31F69D" w:rsidR="002A1E96" w:rsidRPr="00DF6B87" w:rsidRDefault="002A1E96" w:rsidP="00DF6B87">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cs="Arial"/>
          <w:szCs w:val="24"/>
        </w:rPr>
      </w:pPr>
      <w:r w:rsidRPr="007B1560">
        <w:rPr>
          <w:rFonts w:eastAsiaTheme="minorHAnsi" w:cs="Arial"/>
          <w:szCs w:val="24"/>
        </w:rPr>
        <w:t xml:space="preserve">The following sections provide a </w:t>
      </w:r>
      <w:r w:rsidR="000D427B" w:rsidRPr="007B1560">
        <w:rPr>
          <w:rFonts w:eastAsiaTheme="minorHAnsi" w:cs="Arial"/>
          <w:szCs w:val="24"/>
        </w:rPr>
        <w:t xml:space="preserve">more </w:t>
      </w:r>
      <w:r w:rsidRPr="007B1560">
        <w:rPr>
          <w:rFonts w:eastAsiaTheme="minorHAnsi" w:cs="Arial"/>
          <w:szCs w:val="24"/>
        </w:rPr>
        <w:t>detailed analysis of the consultations responses received</w:t>
      </w:r>
      <w:r w:rsidR="000D427B" w:rsidRPr="007B1560">
        <w:rPr>
          <w:rFonts w:eastAsiaTheme="minorHAnsi" w:cs="Arial"/>
          <w:szCs w:val="24"/>
        </w:rPr>
        <w:t xml:space="preserve"> and the broad themes drawn out in each section</w:t>
      </w:r>
      <w:r w:rsidRPr="007B1560">
        <w:rPr>
          <w:rFonts w:eastAsiaTheme="minorHAnsi" w:cs="Arial"/>
          <w:szCs w:val="24"/>
        </w:rPr>
        <w:t>.</w:t>
      </w:r>
    </w:p>
    <w:p w14:paraId="6ACEE7A2" w14:textId="77777777" w:rsidR="00DF6B87" w:rsidRPr="00DF6B87" w:rsidRDefault="00DF6B87" w:rsidP="00DF6B8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jc w:val="left"/>
        <w:rPr>
          <w:rFonts w:cs="Arial"/>
          <w:szCs w:val="24"/>
        </w:rPr>
      </w:pPr>
    </w:p>
    <w:p w14:paraId="2405246C" w14:textId="1338BE3C" w:rsidR="00836CFD" w:rsidRDefault="00836CFD"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highlight w:val="yellow"/>
        </w:rPr>
      </w:pPr>
    </w:p>
    <w:p w14:paraId="05CF23C8" w14:textId="77777777" w:rsidR="007B1560" w:rsidRDefault="007B1560">
      <w:pPr>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b/>
          <w:caps/>
          <w:sz w:val="28"/>
          <w:szCs w:val="28"/>
        </w:rPr>
      </w:pPr>
      <w:r>
        <w:rPr>
          <w:rFonts w:ascii="Arial Bold" w:hAnsi="Arial Bold" w:cs="Arial"/>
          <w:b/>
          <w:caps/>
          <w:sz w:val="28"/>
          <w:szCs w:val="28"/>
        </w:rPr>
        <w:br w:type="page"/>
      </w:r>
    </w:p>
    <w:p w14:paraId="74531727" w14:textId="4D8BC346" w:rsidR="008811E6" w:rsidRPr="002A1E96" w:rsidRDefault="00D86C48"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b/>
          <w:caps/>
          <w:sz w:val="28"/>
          <w:szCs w:val="28"/>
        </w:rPr>
      </w:pPr>
      <w:r>
        <w:rPr>
          <w:rFonts w:ascii="Arial Bold" w:hAnsi="Arial Bold" w:cs="Arial"/>
          <w:b/>
          <w:caps/>
          <w:sz w:val="28"/>
          <w:szCs w:val="28"/>
        </w:rPr>
        <w:lastRenderedPageBreak/>
        <w:t>Property Investment in Scotland</w:t>
      </w:r>
    </w:p>
    <w:p w14:paraId="32AC1DCB" w14:textId="77777777" w:rsidR="008811E6" w:rsidRPr="00BB449F"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
          <w:szCs w:val="24"/>
          <w:highlight w:val="yellow"/>
          <w:lang w:eastAsia="en-GB"/>
        </w:rPr>
      </w:pPr>
    </w:p>
    <w:p w14:paraId="0FFFBA82" w14:textId="635FA8CB" w:rsidR="008811E6" w:rsidRPr="007B1560" w:rsidRDefault="00155A99"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i/>
          <w:szCs w:val="24"/>
          <w:lang w:eastAsia="en-GB"/>
        </w:rPr>
      </w:pPr>
      <w:r w:rsidRPr="007B1560">
        <w:rPr>
          <w:rFonts w:cs="Arial"/>
          <w:szCs w:val="24"/>
        </w:rPr>
        <w:t xml:space="preserve">The second chapter considered </w:t>
      </w:r>
      <w:r w:rsidR="00163417" w:rsidRPr="007B1560">
        <w:rPr>
          <w:rFonts w:cs="Arial"/>
          <w:szCs w:val="24"/>
        </w:rPr>
        <w:t xml:space="preserve">the property investment market in Scotland both historically and the current position, in regards to </w:t>
      </w:r>
      <w:proofErr w:type="spellStart"/>
      <w:r w:rsidR="00163417" w:rsidRPr="007B1560">
        <w:rPr>
          <w:rFonts w:cs="Arial"/>
          <w:szCs w:val="24"/>
        </w:rPr>
        <w:t>LBTT</w:t>
      </w:r>
      <w:proofErr w:type="spellEnd"/>
      <w:r w:rsidR="00163417" w:rsidRPr="007B1560">
        <w:rPr>
          <w:rFonts w:cs="Arial"/>
          <w:szCs w:val="24"/>
        </w:rPr>
        <w:t xml:space="preserve"> compared to </w:t>
      </w:r>
      <w:proofErr w:type="spellStart"/>
      <w:r w:rsidR="00163417" w:rsidRPr="007B1560">
        <w:rPr>
          <w:rFonts w:cs="Arial"/>
          <w:szCs w:val="24"/>
        </w:rPr>
        <w:t>SDLT</w:t>
      </w:r>
      <w:proofErr w:type="spellEnd"/>
      <w:r w:rsidR="00163417" w:rsidRPr="007B1560">
        <w:rPr>
          <w:rFonts w:cs="Arial"/>
          <w:szCs w:val="24"/>
        </w:rPr>
        <w:t xml:space="preserve"> in England and Northern Ireland.  </w:t>
      </w:r>
      <w:r w:rsidR="00BA2CEB">
        <w:rPr>
          <w:rFonts w:cs="Arial"/>
          <w:szCs w:val="24"/>
        </w:rPr>
        <w:t>It also looked at t</w:t>
      </w:r>
      <w:r w:rsidR="00163417" w:rsidRPr="007B1560">
        <w:rPr>
          <w:rFonts w:cs="Arial"/>
          <w:szCs w:val="24"/>
        </w:rPr>
        <w:t>he value of the investment market in the UK, the proportion</w:t>
      </w:r>
      <w:r w:rsidR="00A10D24" w:rsidRPr="007B1560">
        <w:rPr>
          <w:rFonts w:cs="Arial"/>
          <w:szCs w:val="24"/>
        </w:rPr>
        <w:t xml:space="preserve"> that applies to Scotland, how this</w:t>
      </w:r>
      <w:r w:rsidR="00163417" w:rsidRPr="007B1560">
        <w:rPr>
          <w:rFonts w:cs="Arial"/>
          <w:szCs w:val="24"/>
        </w:rPr>
        <w:t xml:space="preserve"> has traditionally been managed and the types of funds that hold UK and Scottish properties</w:t>
      </w:r>
      <w:r w:rsidR="00A10D24" w:rsidRPr="007B1560">
        <w:rPr>
          <w:rFonts w:cs="Arial"/>
          <w:szCs w:val="24"/>
        </w:rPr>
        <w:t xml:space="preserve"> was considered</w:t>
      </w:r>
      <w:r w:rsidR="00163417" w:rsidRPr="007B1560">
        <w:rPr>
          <w:rFonts w:cs="Arial"/>
          <w:szCs w:val="24"/>
        </w:rPr>
        <w:t xml:space="preserve">.     </w:t>
      </w:r>
    </w:p>
    <w:p w14:paraId="60A2C4D2" w14:textId="77777777" w:rsidR="008811E6" w:rsidRPr="00155A99" w:rsidRDefault="008811E6"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5F65A3F3" w14:textId="28B0DE6A" w:rsidR="008811E6" w:rsidRPr="00155A99" w:rsidRDefault="00163417" w:rsidP="00DF6B87">
      <w:pPr>
        <w:pStyle w:val="ListParagraph"/>
        <w:numPr>
          <w:ilvl w:val="0"/>
          <w:numId w:val="19"/>
        </w:numPr>
        <w:spacing w:line="240" w:lineRule="auto"/>
        <w:ind w:left="0" w:firstLine="0"/>
        <w:rPr>
          <w:lang w:eastAsia="en-GB"/>
        </w:rPr>
      </w:pPr>
      <w:r w:rsidRPr="007B1560">
        <w:rPr>
          <w:rFonts w:cs="Arial"/>
          <w:bCs/>
          <w:szCs w:val="24"/>
          <w:lang w:eastAsia="en-GB"/>
        </w:rPr>
        <w:t xml:space="preserve">Detail was provided describing the types of investment funds available and being considered for relief from </w:t>
      </w:r>
      <w:proofErr w:type="spellStart"/>
      <w:r w:rsidRPr="007B1560">
        <w:rPr>
          <w:rFonts w:cs="Arial"/>
          <w:bCs/>
          <w:szCs w:val="24"/>
          <w:lang w:eastAsia="en-GB"/>
        </w:rPr>
        <w:t>LBTT</w:t>
      </w:r>
      <w:proofErr w:type="spellEnd"/>
      <w:r w:rsidRPr="007B1560">
        <w:rPr>
          <w:rFonts w:cs="Arial"/>
          <w:bCs/>
          <w:szCs w:val="24"/>
          <w:lang w:eastAsia="en-GB"/>
        </w:rPr>
        <w:t xml:space="preserve"> focussing on </w:t>
      </w:r>
      <w:proofErr w:type="spellStart"/>
      <w:r w:rsidR="00800720" w:rsidRPr="007B1560">
        <w:rPr>
          <w:rFonts w:cs="Arial"/>
          <w:bCs/>
          <w:szCs w:val="24"/>
          <w:lang w:eastAsia="en-GB"/>
        </w:rPr>
        <w:t>PAIF’s</w:t>
      </w:r>
      <w:proofErr w:type="spellEnd"/>
      <w:r w:rsidR="00800720" w:rsidRPr="007B1560">
        <w:rPr>
          <w:rFonts w:cs="Arial"/>
          <w:bCs/>
          <w:szCs w:val="24"/>
          <w:lang w:eastAsia="en-GB"/>
        </w:rPr>
        <w:t xml:space="preserve"> and </w:t>
      </w:r>
      <w:proofErr w:type="spellStart"/>
      <w:r w:rsidR="00800720" w:rsidRPr="007B1560">
        <w:rPr>
          <w:rFonts w:cs="Arial"/>
          <w:bCs/>
          <w:szCs w:val="24"/>
          <w:lang w:eastAsia="en-GB"/>
        </w:rPr>
        <w:t>CoACS</w:t>
      </w:r>
      <w:proofErr w:type="spellEnd"/>
      <w:r w:rsidR="00800720" w:rsidRPr="007B1560">
        <w:rPr>
          <w:rFonts w:cs="Arial"/>
          <w:bCs/>
          <w:szCs w:val="24"/>
          <w:lang w:eastAsia="en-GB"/>
        </w:rPr>
        <w:t>,</w:t>
      </w:r>
      <w:r w:rsidRPr="007B1560">
        <w:rPr>
          <w:rFonts w:cs="Arial"/>
          <w:bCs/>
          <w:szCs w:val="24"/>
          <w:lang w:eastAsia="en-GB"/>
        </w:rPr>
        <w:t xml:space="preserve"> and how they operate in a Scottish context. </w:t>
      </w:r>
      <w:r w:rsidR="008811E6" w:rsidRPr="00155A99">
        <w:rPr>
          <w:lang w:eastAsia="en-GB"/>
        </w:rPr>
        <w:t xml:space="preserve"> </w:t>
      </w:r>
    </w:p>
    <w:p w14:paraId="594F7E30" w14:textId="77777777" w:rsidR="008811E6" w:rsidRPr="00155A99" w:rsidRDefault="008811E6"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59A8DA44" w14:textId="5E2FCB4C" w:rsidR="00163417" w:rsidRPr="007B1560" w:rsidRDefault="00163417"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B1560">
        <w:rPr>
          <w:rFonts w:cs="Arial"/>
          <w:bCs/>
          <w:szCs w:val="24"/>
          <w:lang w:eastAsia="en-GB"/>
        </w:rPr>
        <w:t>Respondents were asked for their views on the described funds</w:t>
      </w:r>
      <w:r w:rsidR="002B12D4" w:rsidRPr="007B1560">
        <w:rPr>
          <w:rFonts w:cs="Arial"/>
          <w:bCs/>
          <w:szCs w:val="24"/>
          <w:lang w:eastAsia="en-GB"/>
        </w:rPr>
        <w:t>, the value and size of fund, their exposure to Scottish property</w:t>
      </w:r>
      <w:r w:rsidRPr="007B1560">
        <w:rPr>
          <w:rFonts w:cs="Arial"/>
          <w:bCs/>
          <w:szCs w:val="24"/>
          <w:lang w:eastAsia="en-GB"/>
        </w:rPr>
        <w:t xml:space="preserve"> and the </w:t>
      </w:r>
      <w:r w:rsidR="002B12D4" w:rsidRPr="007B1560">
        <w:rPr>
          <w:rFonts w:cs="Arial"/>
          <w:bCs/>
          <w:szCs w:val="24"/>
          <w:lang w:eastAsia="en-GB"/>
        </w:rPr>
        <w:t xml:space="preserve">general property </w:t>
      </w:r>
      <w:r w:rsidRPr="007B1560">
        <w:rPr>
          <w:rFonts w:cs="Arial"/>
          <w:bCs/>
          <w:szCs w:val="24"/>
          <w:lang w:eastAsia="en-GB"/>
        </w:rPr>
        <w:t>inves</w:t>
      </w:r>
      <w:r w:rsidR="002B12D4" w:rsidRPr="007B1560">
        <w:rPr>
          <w:rFonts w:cs="Arial"/>
          <w:bCs/>
          <w:szCs w:val="24"/>
          <w:lang w:eastAsia="en-GB"/>
        </w:rPr>
        <w:t>tment landscape within Scotland.</w:t>
      </w:r>
    </w:p>
    <w:p w14:paraId="3DCA52F2" w14:textId="77777777" w:rsidR="00163417" w:rsidRPr="00155A99" w:rsidRDefault="00163417"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15DCEB81" w14:textId="0FA91DD2" w:rsidR="008811E6" w:rsidRPr="007B1560" w:rsidRDefault="00EF06FD"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B1560">
        <w:rPr>
          <w:rFonts w:cs="Arial"/>
          <w:bCs/>
          <w:szCs w:val="24"/>
          <w:lang w:eastAsia="en-GB"/>
        </w:rPr>
        <w:t>The responses generally agreed with the Scottish Governments description of the propert</w:t>
      </w:r>
      <w:r w:rsidR="00BA2CEB">
        <w:rPr>
          <w:rFonts w:cs="Arial"/>
          <w:bCs/>
          <w:szCs w:val="24"/>
          <w:lang w:eastAsia="en-GB"/>
        </w:rPr>
        <w:t xml:space="preserve">y investment market in Scotland </w:t>
      </w:r>
      <w:r w:rsidR="00BA2CEB" w:rsidRPr="007B1560">
        <w:rPr>
          <w:rFonts w:cs="Arial"/>
          <w:bCs/>
          <w:szCs w:val="24"/>
          <w:lang w:eastAsia="en-GB"/>
        </w:rPr>
        <w:t xml:space="preserve">and </w:t>
      </w:r>
      <w:r w:rsidRPr="007B1560">
        <w:rPr>
          <w:rFonts w:cs="Arial"/>
          <w:bCs/>
          <w:szCs w:val="24"/>
          <w:lang w:eastAsia="en-GB"/>
        </w:rPr>
        <w:t xml:space="preserve">types of funds operating within it.  There was however a significant comment on the described operation of </w:t>
      </w:r>
      <w:proofErr w:type="spellStart"/>
      <w:r w:rsidRPr="007B1560">
        <w:rPr>
          <w:rFonts w:cs="Arial"/>
          <w:bCs/>
          <w:szCs w:val="24"/>
          <w:lang w:eastAsia="en-GB"/>
        </w:rPr>
        <w:t>CoACS</w:t>
      </w:r>
      <w:proofErr w:type="spellEnd"/>
      <w:r w:rsidRPr="007B1560">
        <w:rPr>
          <w:rFonts w:cs="Arial"/>
          <w:bCs/>
          <w:szCs w:val="24"/>
          <w:lang w:eastAsia="en-GB"/>
        </w:rPr>
        <w:t xml:space="preserve">.  It was </w:t>
      </w:r>
      <w:r w:rsidR="00A10D24" w:rsidRPr="007B1560">
        <w:rPr>
          <w:rFonts w:cs="Arial"/>
          <w:bCs/>
          <w:szCs w:val="24"/>
          <w:lang w:eastAsia="en-GB"/>
        </w:rPr>
        <w:t xml:space="preserve">noted </w:t>
      </w:r>
      <w:r w:rsidRPr="007B1560">
        <w:rPr>
          <w:rFonts w:cs="Arial"/>
          <w:bCs/>
          <w:szCs w:val="24"/>
          <w:lang w:eastAsia="en-GB"/>
        </w:rPr>
        <w:t xml:space="preserve">that for the purposes of </w:t>
      </w:r>
      <w:proofErr w:type="spellStart"/>
      <w:r w:rsidRPr="007B1560">
        <w:rPr>
          <w:rFonts w:cs="Arial"/>
          <w:bCs/>
          <w:szCs w:val="24"/>
          <w:lang w:eastAsia="en-GB"/>
        </w:rPr>
        <w:t>SDLT</w:t>
      </w:r>
      <w:proofErr w:type="spellEnd"/>
      <w:r w:rsidRPr="007B1560">
        <w:rPr>
          <w:rFonts w:cs="Arial"/>
          <w:bCs/>
          <w:szCs w:val="24"/>
          <w:lang w:eastAsia="en-GB"/>
        </w:rPr>
        <w:t xml:space="preserve"> and Land Transaction Tax (</w:t>
      </w:r>
      <w:proofErr w:type="spellStart"/>
      <w:r w:rsidRPr="007B1560">
        <w:rPr>
          <w:rFonts w:cs="Arial"/>
          <w:bCs/>
          <w:szCs w:val="24"/>
          <w:lang w:eastAsia="en-GB"/>
        </w:rPr>
        <w:t>LTT</w:t>
      </w:r>
      <w:proofErr w:type="spellEnd"/>
      <w:r w:rsidRPr="007B1560">
        <w:rPr>
          <w:rFonts w:cs="Arial"/>
          <w:bCs/>
          <w:szCs w:val="24"/>
          <w:lang w:eastAsia="en-GB"/>
        </w:rPr>
        <w:t xml:space="preserve">) operated in Wales, </w:t>
      </w:r>
      <w:proofErr w:type="spellStart"/>
      <w:r w:rsidRPr="007B1560">
        <w:rPr>
          <w:rFonts w:cs="Arial"/>
          <w:bCs/>
          <w:szCs w:val="24"/>
          <w:lang w:eastAsia="en-GB"/>
        </w:rPr>
        <w:t>CoACS</w:t>
      </w:r>
      <w:proofErr w:type="spellEnd"/>
      <w:r w:rsidRPr="007B1560">
        <w:rPr>
          <w:rFonts w:cs="Arial"/>
          <w:bCs/>
          <w:szCs w:val="24"/>
          <w:lang w:eastAsia="en-GB"/>
        </w:rPr>
        <w:t xml:space="preserve"> are treated as opaque</w:t>
      </w:r>
      <w:r w:rsidR="00736FD2" w:rsidRPr="007B1560">
        <w:rPr>
          <w:rFonts w:cs="Arial"/>
          <w:bCs/>
          <w:szCs w:val="24"/>
          <w:lang w:eastAsia="en-GB"/>
        </w:rPr>
        <w:t>,</w:t>
      </w:r>
      <w:r w:rsidRPr="007B1560">
        <w:rPr>
          <w:rFonts w:cs="Arial"/>
          <w:bCs/>
          <w:szCs w:val="24"/>
          <w:lang w:eastAsia="en-GB"/>
        </w:rPr>
        <w:t xml:space="preserve"> that is </w:t>
      </w:r>
      <w:r w:rsidR="003E5160" w:rsidRPr="007B1560">
        <w:rPr>
          <w:rFonts w:cs="Arial"/>
          <w:bCs/>
          <w:szCs w:val="24"/>
          <w:lang w:eastAsia="en-GB"/>
        </w:rPr>
        <w:t>it is the entity (investment fund) that is the tax payer in such situations and not the individual members of the fund</w:t>
      </w:r>
      <w:r w:rsidR="00736FD2" w:rsidRPr="007B1560">
        <w:rPr>
          <w:rFonts w:cs="Arial"/>
          <w:bCs/>
          <w:szCs w:val="24"/>
          <w:lang w:eastAsia="en-GB"/>
        </w:rPr>
        <w:t xml:space="preserve">.  </w:t>
      </w:r>
    </w:p>
    <w:p w14:paraId="57436251" w14:textId="77777777" w:rsidR="008811E6" w:rsidRPr="00155A99" w:rsidRDefault="008811E6"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4F1FAEF1" w14:textId="00DEFFAC" w:rsidR="00741496" w:rsidRPr="007B1560" w:rsidRDefault="003E5160"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B1560">
        <w:rPr>
          <w:rFonts w:cs="Arial"/>
          <w:bCs/>
          <w:szCs w:val="24"/>
          <w:lang w:eastAsia="en-GB"/>
        </w:rPr>
        <w:t xml:space="preserve">Various details were provided on the amount, the size and value of current investment funds in the UK and their potential portfolios of Scottish property.  Several replies provided that the UK government and HM Treasury had stated in 2014 and 2016 that the amount of UK property currently held in investment funds was approximately £60 billion.  Most respondent’s agreed that the amount of Scottish property held in these funds </w:t>
      </w:r>
      <w:r w:rsidR="00741496" w:rsidRPr="007B1560">
        <w:rPr>
          <w:rFonts w:cs="Arial"/>
          <w:bCs/>
          <w:szCs w:val="24"/>
          <w:lang w:eastAsia="en-GB"/>
        </w:rPr>
        <w:t xml:space="preserve">varies </w:t>
      </w:r>
      <w:r w:rsidRPr="007B1560">
        <w:rPr>
          <w:rFonts w:cs="Arial"/>
          <w:bCs/>
          <w:szCs w:val="24"/>
          <w:lang w:eastAsia="en-GB"/>
        </w:rPr>
        <w:t xml:space="preserve">between </w:t>
      </w:r>
      <w:r w:rsidR="00C217B1" w:rsidRPr="007B1560">
        <w:rPr>
          <w:rFonts w:cs="Arial"/>
          <w:bCs/>
          <w:szCs w:val="24"/>
          <w:lang w:eastAsia="en-GB"/>
        </w:rPr>
        <w:t>10</w:t>
      </w:r>
      <w:r w:rsidRPr="007B1560">
        <w:rPr>
          <w:rFonts w:cs="Arial"/>
          <w:bCs/>
          <w:szCs w:val="24"/>
          <w:lang w:eastAsia="en-GB"/>
        </w:rPr>
        <w:t xml:space="preserve"> –</w:t>
      </w:r>
      <w:r w:rsidR="00741496" w:rsidRPr="007B1560">
        <w:rPr>
          <w:rFonts w:cs="Arial"/>
          <w:bCs/>
          <w:szCs w:val="24"/>
          <w:lang w:eastAsia="en-GB"/>
        </w:rPr>
        <w:t xml:space="preserve"> 12</w:t>
      </w:r>
      <w:r w:rsidRPr="007B1560">
        <w:rPr>
          <w:rFonts w:cs="Arial"/>
          <w:bCs/>
          <w:szCs w:val="24"/>
          <w:lang w:eastAsia="en-GB"/>
        </w:rPr>
        <w:t>% depending on the fund</w:t>
      </w:r>
      <w:r w:rsidR="00C217B1" w:rsidRPr="007B1560">
        <w:rPr>
          <w:rFonts w:cs="Arial"/>
          <w:bCs/>
          <w:szCs w:val="24"/>
          <w:lang w:eastAsia="en-GB"/>
        </w:rPr>
        <w:t xml:space="preserve">. </w:t>
      </w:r>
      <w:r w:rsidRPr="007B1560">
        <w:rPr>
          <w:rFonts w:cs="Arial"/>
          <w:bCs/>
          <w:szCs w:val="24"/>
          <w:lang w:eastAsia="en-GB"/>
        </w:rPr>
        <w:t>One contributor stated they were aware of certain investment funds holding both higher and lower amounts of property than the figures provided.</w:t>
      </w:r>
    </w:p>
    <w:p w14:paraId="69E0D2B5" w14:textId="77777777" w:rsidR="00052EC2" w:rsidRDefault="00052EC2"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16F63AB8" w14:textId="1F83E073" w:rsidR="00741496" w:rsidRPr="007B1560" w:rsidRDefault="002A73DE"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B1560">
        <w:rPr>
          <w:rFonts w:cs="Arial"/>
          <w:bCs/>
          <w:szCs w:val="24"/>
          <w:lang w:eastAsia="en-GB"/>
        </w:rPr>
        <w:t xml:space="preserve">In addition </w:t>
      </w:r>
      <w:r w:rsidR="00741496" w:rsidRPr="007B1560">
        <w:rPr>
          <w:rFonts w:cs="Arial"/>
          <w:bCs/>
          <w:szCs w:val="24"/>
          <w:lang w:eastAsia="en-GB"/>
        </w:rPr>
        <w:t>extra information was pr</w:t>
      </w:r>
      <w:r w:rsidRPr="007B1560">
        <w:rPr>
          <w:rFonts w:cs="Arial"/>
          <w:bCs/>
          <w:szCs w:val="24"/>
          <w:lang w:eastAsia="en-GB"/>
        </w:rPr>
        <w:t>ovided as</w:t>
      </w:r>
      <w:r w:rsidR="00741496" w:rsidRPr="007B1560">
        <w:rPr>
          <w:rFonts w:cs="Arial"/>
          <w:bCs/>
          <w:szCs w:val="24"/>
          <w:lang w:eastAsia="en-GB"/>
        </w:rPr>
        <w:t xml:space="preserve"> general commentary on the property investment market in the UK and its impact on the wider economy.   It was noted that the Bank of England closely monitors the commercial property values as an indicator </w:t>
      </w:r>
      <w:r w:rsidR="00E53D45" w:rsidRPr="007B1560">
        <w:rPr>
          <w:rFonts w:cs="Arial"/>
          <w:bCs/>
          <w:szCs w:val="24"/>
          <w:lang w:eastAsia="en-GB"/>
        </w:rPr>
        <w:t xml:space="preserve">of UK wide investment; a fall of 10% in property values would roughly equate to a 1% reduction in the overall economy.  This statistic was further reinforced in a Scottish context </w:t>
      </w:r>
      <w:r w:rsidR="00A10D24" w:rsidRPr="007B1560">
        <w:rPr>
          <w:rFonts w:cs="Arial"/>
          <w:bCs/>
          <w:szCs w:val="24"/>
          <w:lang w:eastAsia="en-GB"/>
        </w:rPr>
        <w:t xml:space="preserve">by </w:t>
      </w:r>
      <w:r w:rsidR="00E53D45" w:rsidRPr="007B1560">
        <w:rPr>
          <w:rFonts w:cs="Arial"/>
          <w:bCs/>
          <w:szCs w:val="24"/>
          <w:lang w:eastAsia="en-GB"/>
        </w:rPr>
        <w:t xml:space="preserve">the Fraser of </w:t>
      </w:r>
      <w:proofErr w:type="spellStart"/>
      <w:r w:rsidR="00E53D45" w:rsidRPr="007B1560">
        <w:rPr>
          <w:rFonts w:cs="Arial"/>
          <w:bCs/>
          <w:szCs w:val="24"/>
          <w:lang w:eastAsia="en-GB"/>
        </w:rPr>
        <w:t>Allander</w:t>
      </w:r>
      <w:proofErr w:type="spellEnd"/>
      <w:r w:rsidR="00E53D45" w:rsidRPr="007B1560">
        <w:rPr>
          <w:rFonts w:cs="Arial"/>
          <w:bCs/>
          <w:szCs w:val="24"/>
          <w:lang w:eastAsia="en-GB"/>
        </w:rPr>
        <w:t xml:space="preserve"> Institute</w:t>
      </w:r>
      <w:r w:rsidR="00A10D24" w:rsidRPr="007B1560">
        <w:rPr>
          <w:rFonts w:cs="Arial"/>
          <w:bCs/>
          <w:szCs w:val="24"/>
          <w:lang w:eastAsia="en-GB"/>
        </w:rPr>
        <w:t xml:space="preserve"> which was</w:t>
      </w:r>
      <w:r w:rsidR="00E53D45" w:rsidRPr="007B1560">
        <w:rPr>
          <w:rFonts w:cs="Arial"/>
          <w:bCs/>
          <w:szCs w:val="24"/>
          <w:lang w:eastAsia="en-GB"/>
        </w:rPr>
        <w:t xml:space="preserve"> quoted as reporting </w:t>
      </w:r>
      <w:r w:rsidR="00A10D24" w:rsidRPr="007B1560">
        <w:rPr>
          <w:rFonts w:cs="Arial"/>
          <w:bCs/>
          <w:szCs w:val="24"/>
          <w:lang w:eastAsia="en-GB"/>
        </w:rPr>
        <w:t xml:space="preserve">that </w:t>
      </w:r>
      <w:r w:rsidR="00E53D45" w:rsidRPr="007B1560">
        <w:rPr>
          <w:rFonts w:cs="Arial"/>
          <w:bCs/>
          <w:szCs w:val="24"/>
          <w:lang w:eastAsia="en-GB"/>
        </w:rPr>
        <w:t xml:space="preserve">every £100 million of demand for commercial property </w:t>
      </w:r>
      <w:r w:rsidR="005130CE" w:rsidRPr="007B1560">
        <w:rPr>
          <w:rFonts w:cs="Arial"/>
          <w:bCs/>
          <w:szCs w:val="24"/>
          <w:lang w:eastAsia="en-GB"/>
        </w:rPr>
        <w:t>raise</w:t>
      </w:r>
      <w:r w:rsidR="00A10D24" w:rsidRPr="007B1560">
        <w:rPr>
          <w:rFonts w:cs="Arial"/>
          <w:bCs/>
          <w:szCs w:val="24"/>
          <w:lang w:eastAsia="en-GB"/>
        </w:rPr>
        <w:t>d a further £73 million contribution</w:t>
      </w:r>
      <w:r w:rsidR="00E53D45" w:rsidRPr="007B1560">
        <w:rPr>
          <w:rFonts w:cs="Arial"/>
          <w:bCs/>
          <w:szCs w:val="24"/>
          <w:lang w:eastAsia="en-GB"/>
        </w:rPr>
        <w:t xml:space="preserve"> to the economy.</w:t>
      </w:r>
      <w:r w:rsidR="005130CE">
        <w:rPr>
          <w:rStyle w:val="FootnoteReference"/>
          <w:rFonts w:cs="Arial"/>
          <w:bCs/>
          <w:szCs w:val="24"/>
          <w:lang w:eastAsia="en-GB"/>
        </w:rPr>
        <w:footnoteReference w:id="1"/>
      </w:r>
      <w:r w:rsidR="00741496" w:rsidRPr="007B1560">
        <w:rPr>
          <w:rFonts w:cs="Arial"/>
          <w:bCs/>
          <w:szCs w:val="24"/>
          <w:lang w:eastAsia="en-GB"/>
        </w:rPr>
        <w:t xml:space="preserve"> </w:t>
      </w:r>
    </w:p>
    <w:p w14:paraId="7F375000" w14:textId="77777777" w:rsidR="00836CFD" w:rsidRDefault="00836CFD"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01C7D9AE" w14:textId="77777777" w:rsidR="00EA6573" w:rsidRDefault="00EA6573">
      <w:pPr>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b/>
          <w:caps/>
          <w:sz w:val="28"/>
          <w:szCs w:val="28"/>
        </w:rPr>
      </w:pPr>
      <w:r>
        <w:rPr>
          <w:rFonts w:ascii="Arial Bold" w:hAnsi="Arial Bold" w:cs="Arial"/>
          <w:b/>
          <w:caps/>
          <w:sz w:val="28"/>
          <w:szCs w:val="28"/>
        </w:rPr>
        <w:br w:type="page"/>
      </w:r>
    </w:p>
    <w:p w14:paraId="080501D2" w14:textId="41840BDC" w:rsidR="008811E6" w:rsidRPr="00E53D45" w:rsidRDefault="00155A99"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r w:rsidRPr="00E53D45">
        <w:rPr>
          <w:rFonts w:ascii="Arial Bold" w:hAnsi="Arial Bold" w:cs="Arial"/>
          <w:b/>
          <w:caps/>
          <w:sz w:val="28"/>
          <w:szCs w:val="28"/>
        </w:rPr>
        <w:lastRenderedPageBreak/>
        <w:t>Seeding relief</w:t>
      </w:r>
    </w:p>
    <w:p w14:paraId="43238578" w14:textId="77777777" w:rsidR="008811E6" w:rsidRPr="00BB449F"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highlight w:val="yellow"/>
        </w:rPr>
      </w:pPr>
    </w:p>
    <w:p w14:paraId="7D6E44A7" w14:textId="77777777" w:rsidR="00BA2CEB" w:rsidRPr="007B1560" w:rsidRDefault="00DA297B" w:rsidP="00BA2CEB">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B1560">
        <w:rPr>
          <w:rFonts w:cs="Arial"/>
          <w:szCs w:val="24"/>
        </w:rPr>
        <w:t>Chapter three</w:t>
      </w:r>
      <w:r w:rsidR="002A73DE" w:rsidRPr="007B1560">
        <w:rPr>
          <w:rFonts w:cs="Arial"/>
          <w:szCs w:val="24"/>
        </w:rPr>
        <w:t xml:space="preserve"> of the consultation focussed on </w:t>
      </w:r>
      <w:r w:rsidR="0017671B" w:rsidRPr="007B1560">
        <w:rPr>
          <w:rFonts w:cs="Arial"/>
          <w:szCs w:val="24"/>
        </w:rPr>
        <w:t>whether</w:t>
      </w:r>
      <w:r w:rsidR="002A73DE" w:rsidRPr="007B1560">
        <w:rPr>
          <w:rFonts w:cs="Arial"/>
          <w:szCs w:val="24"/>
        </w:rPr>
        <w:t xml:space="preserve"> or not the Scottish Government should introduce a seeding relief for </w:t>
      </w:r>
      <w:proofErr w:type="spellStart"/>
      <w:r w:rsidR="002A73DE" w:rsidRPr="007B1560">
        <w:rPr>
          <w:rFonts w:cs="Arial"/>
          <w:szCs w:val="24"/>
        </w:rPr>
        <w:t>PAIF’s</w:t>
      </w:r>
      <w:proofErr w:type="spellEnd"/>
      <w:r w:rsidR="002A73DE" w:rsidRPr="007B1560">
        <w:rPr>
          <w:rFonts w:cs="Arial"/>
          <w:szCs w:val="24"/>
        </w:rPr>
        <w:t xml:space="preserve"> and </w:t>
      </w:r>
      <w:proofErr w:type="spellStart"/>
      <w:r w:rsidR="002A73DE" w:rsidRPr="007B1560">
        <w:rPr>
          <w:rFonts w:cs="Arial"/>
          <w:szCs w:val="24"/>
        </w:rPr>
        <w:t>CoACS</w:t>
      </w:r>
      <w:proofErr w:type="spellEnd"/>
      <w:r w:rsidR="002A73DE" w:rsidRPr="007B1560">
        <w:rPr>
          <w:rFonts w:cs="Arial"/>
          <w:szCs w:val="24"/>
        </w:rPr>
        <w:t xml:space="preserve">, </w:t>
      </w:r>
      <w:r w:rsidR="0017671B" w:rsidRPr="007B1560">
        <w:rPr>
          <w:rFonts w:cs="Arial"/>
          <w:szCs w:val="24"/>
        </w:rPr>
        <w:t xml:space="preserve">the potential effects on businesses and how such a relief would compare to the equivalent </w:t>
      </w:r>
      <w:proofErr w:type="spellStart"/>
      <w:r w:rsidR="0017671B" w:rsidRPr="007B1560">
        <w:rPr>
          <w:rFonts w:cs="Arial"/>
          <w:szCs w:val="24"/>
        </w:rPr>
        <w:t>SDLT</w:t>
      </w:r>
      <w:proofErr w:type="spellEnd"/>
      <w:r w:rsidR="0017671B" w:rsidRPr="007B1560">
        <w:rPr>
          <w:rFonts w:cs="Arial"/>
          <w:szCs w:val="24"/>
        </w:rPr>
        <w:t xml:space="preserve"> relief.</w:t>
      </w:r>
      <w:r w:rsidR="002A73DE" w:rsidRPr="007B1560">
        <w:rPr>
          <w:rFonts w:cs="Arial"/>
          <w:szCs w:val="24"/>
        </w:rPr>
        <w:t xml:space="preserve"> </w:t>
      </w:r>
      <w:r w:rsidR="00BA2CEB" w:rsidRPr="007B1560">
        <w:rPr>
          <w:rFonts w:cs="Arial"/>
          <w:bCs/>
          <w:szCs w:val="24"/>
          <w:lang w:eastAsia="en-GB"/>
        </w:rPr>
        <w:t xml:space="preserve">The Scottish Government’s priority in this area was establishing the link between these types of funds and the wider Scottish economy.  </w:t>
      </w:r>
    </w:p>
    <w:p w14:paraId="32D56F94" w14:textId="77777777" w:rsidR="008811E6" w:rsidRPr="002A73DE" w:rsidRDefault="008811E6"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41263E82" w14:textId="1F4E7213" w:rsidR="008811E6" w:rsidRPr="007B1560" w:rsidRDefault="0017671B"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B1560">
        <w:rPr>
          <w:rFonts w:cs="Arial"/>
          <w:bCs/>
          <w:szCs w:val="24"/>
          <w:lang w:eastAsia="en-GB"/>
        </w:rPr>
        <w:t>R</w:t>
      </w:r>
      <w:r w:rsidR="008811E6" w:rsidRPr="007B1560">
        <w:rPr>
          <w:rFonts w:cs="Arial"/>
          <w:bCs/>
          <w:szCs w:val="24"/>
          <w:lang w:eastAsia="en-GB"/>
        </w:rPr>
        <w:t>espondent</w:t>
      </w:r>
      <w:r w:rsidRPr="007B1560">
        <w:rPr>
          <w:rFonts w:cs="Arial"/>
          <w:bCs/>
          <w:szCs w:val="24"/>
          <w:lang w:eastAsia="en-GB"/>
        </w:rPr>
        <w:t>s were unanimous in support for the introduction of a seeding relief fro</w:t>
      </w:r>
      <w:r w:rsidR="00363BD9" w:rsidRPr="007B1560">
        <w:rPr>
          <w:rFonts w:cs="Arial"/>
          <w:bCs/>
          <w:szCs w:val="24"/>
          <w:lang w:eastAsia="en-GB"/>
        </w:rPr>
        <w:t xml:space="preserve">m </w:t>
      </w:r>
      <w:proofErr w:type="spellStart"/>
      <w:r w:rsidR="00363BD9" w:rsidRPr="007B1560">
        <w:rPr>
          <w:rFonts w:cs="Arial"/>
          <w:bCs/>
          <w:szCs w:val="24"/>
          <w:lang w:eastAsia="en-GB"/>
        </w:rPr>
        <w:t>LBTT</w:t>
      </w:r>
      <w:proofErr w:type="spellEnd"/>
      <w:r w:rsidRPr="007B1560">
        <w:rPr>
          <w:rFonts w:cs="Arial"/>
          <w:bCs/>
          <w:szCs w:val="24"/>
          <w:lang w:eastAsia="en-GB"/>
        </w:rPr>
        <w:t xml:space="preserve">. </w:t>
      </w:r>
      <w:r w:rsidR="006552C6" w:rsidRPr="007B1560">
        <w:rPr>
          <w:rFonts w:cs="Arial"/>
          <w:bCs/>
          <w:szCs w:val="24"/>
          <w:lang w:eastAsia="en-GB"/>
        </w:rPr>
        <w:t xml:space="preserve"> </w:t>
      </w:r>
      <w:r w:rsidRPr="007B1560">
        <w:rPr>
          <w:rFonts w:cs="Arial"/>
          <w:bCs/>
          <w:szCs w:val="24"/>
          <w:lang w:eastAsia="en-GB"/>
        </w:rPr>
        <w:t xml:space="preserve">15 </w:t>
      </w:r>
      <w:r w:rsidR="00C8229C" w:rsidRPr="007B1560">
        <w:rPr>
          <w:rFonts w:cs="Arial"/>
          <w:bCs/>
          <w:szCs w:val="24"/>
          <w:lang w:eastAsia="en-GB"/>
        </w:rPr>
        <w:t xml:space="preserve">positive </w:t>
      </w:r>
      <w:r w:rsidR="0063128C" w:rsidRPr="007B1560">
        <w:rPr>
          <w:rFonts w:cs="Arial"/>
          <w:bCs/>
          <w:szCs w:val="24"/>
          <w:lang w:eastAsia="en-GB"/>
        </w:rPr>
        <w:t>replies</w:t>
      </w:r>
      <w:r w:rsidR="00363BD9" w:rsidRPr="007B1560">
        <w:rPr>
          <w:rFonts w:cs="Arial"/>
          <w:bCs/>
          <w:szCs w:val="24"/>
          <w:lang w:eastAsia="en-GB"/>
        </w:rPr>
        <w:t xml:space="preserve"> in support of the introduction of a relief</w:t>
      </w:r>
      <w:r w:rsidR="00C8229C" w:rsidRPr="007B1560">
        <w:rPr>
          <w:rFonts w:cs="Arial"/>
          <w:bCs/>
          <w:szCs w:val="24"/>
          <w:lang w:eastAsia="en-GB"/>
        </w:rPr>
        <w:t xml:space="preserve"> </w:t>
      </w:r>
      <w:r w:rsidR="006552C6" w:rsidRPr="007B1560">
        <w:rPr>
          <w:rFonts w:cs="Arial"/>
          <w:bCs/>
          <w:szCs w:val="24"/>
          <w:lang w:eastAsia="en-GB"/>
        </w:rPr>
        <w:t xml:space="preserve">were received alongside </w:t>
      </w:r>
      <w:r w:rsidR="00066391" w:rsidRPr="007B1560">
        <w:rPr>
          <w:rFonts w:cs="Arial"/>
          <w:bCs/>
          <w:szCs w:val="24"/>
          <w:lang w:eastAsia="en-GB"/>
        </w:rPr>
        <w:t>comme</w:t>
      </w:r>
      <w:r w:rsidR="006552C6" w:rsidRPr="007B1560">
        <w:rPr>
          <w:rFonts w:cs="Arial"/>
          <w:bCs/>
          <w:szCs w:val="24"/>
          <w:lang w:eastAsia="en-GB"/>
        </w:rPr>
        <w:t>nts on the other questions proposed, these responses</w:t>
      </w:r>
      <w:r w:rsidR="0063128C" w:rsidRPr="007B1560">
        <w:rPr>
          <w:rFonts w:cs="Arial"/>
          <w:bCs/>
          <w:szCs w:val="24"/>
          <w:lang w:eastAsia="en-GB"/>
        </w:rPr>
        <w:t xml:space="preserve"> </w:t>
      </w:r>
      <w:r w:rsidR="006552C6" w:rsidRPr="007B1560">
        <w:rPr>
          <w:rFonts w:cs="Arial"/>
          <w:bCs/>
          <w:szCs w:val="24"/>
          <w:lang w:eastAsia="en-GB"/>
        </w:rPr>
        <w:t>focussed</w:t>
      </w:r>
      <w:r w:rsidR="00066391" w:rsidRPr="007B1560">
        <w:rPr>
          <w:rFonts w:cs="Arial"/>
          <w:bCs/>
          <w:szCs w:val="24"/>
          <w:lang w:eastAsia="en-GB"/>
        </w:rPr>
        <w:t xml:space="preserve"> on</w:t>
      </w:r>
      <w:r w:rsidR="00A34C1B" w:rsidRPr="007B1560">
        <w:rPr>
          <w:rFonts w:cs="Arial"/>
          <w:bCs/>
          <w:szCs w:val="24"/>
          <w:lang w:eastAsia="en-GB"/>
        </w:rPr>
        <w:t xml:space="preserve"> </w:t>
      </w:r>
      <w:r w:rsidR="0063128C" w:rsidRPr="007B1560">
        <w:rPr>
          <w:rFonts w:cs="Arial"/>
          <w:bCs/>
          <w:szCs w:val="24"/>
          <w:lang w:eastAsia="en-GB"/>
        </w:rPr>
        <w:t xml:space="preserve">comparisons with </w:t>
      </w:r>
      <w:proofErr w:type="spellStart"/>
      <w:r w:rsidR="0063128C" w:rsidRPr="007B1560">
        <w:rPr>
          <w:rFonts w:cs="Arial"/>
          <w:bCs/>
          <w:szCs w:val="24"/>
          <w:lang w:eastAsia="en-GB"/>
        </w:rPr>
        <w:t>SDLT</w:t>
      </w:r>
      <w:proofErr w:type="spellEnd"/>
      <w:r w:rsidR="00066391" w:rsidRPr="007B1560">
        <w:rPr>
          <w:rFonts w:cs="Arial"/>
          <w:bCs/>
          <w:szCs w:val="24"/>
          <w:lang w:eastAsia="en-GB"/>
        </w:rPr>
        <w:t xml:space="preserve"> and the potential impact such a relief</w:t>
      </w:r>
      <w:r w:rsidR="006552C6" w:rsidRPr="007B1560">
        <w:rPr>
          <w:rFonts w:cs="Arial"/>
          <w:bCs/>
          <w:szCs w:val="24"/>
          <w:lang w:eastAsia="en-GB"/>
        </w:rPr>
        <w:t xml:space="preserve"> could have and the consequence of a ‘do nothing approach’</w:t>
      </w:r>
      <w:r w:rsidR="0063128C" w:rsidRPr="007B1560">
        <w:rPr>
          <w:rFonts w:cs="Arial"/>
          <w:bCs/>
          <w:szCs w:val="24"/>
          <w:lang w:eastAsia="en-GB"/>
        </w:rPr>
        <w:t>.</w:t>
      </w:r>
      <w:r w:rsidR="00C8229C" w:rsidRPr="007B1560">
        <w:rPr>
          <w:rFonts w:cs="Arial"/>
          <w:bCs/>
          <w:szCs w:val="24"/>
          <w:lang w:eastAsia="en-GB"/>
        </w:rPr>
        <w:t xml:space="preserve">   </w:t>
      </w:r>
    </w:p>
    <w:p w14:paraId="540D7E63" w14:textId="5122D209" w:rsidR="00052EC2" w:rsidRDefault="00052EC2" w:rsidP="00DF6B87">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2E4DC712" w14:textId="59A22283" w:rsidR="00A23F2D" w:rsidRDefault="00A23F2D" w:rsidP="00DF6B87">
      <w:pPr>
        <w:pStyle w:val="ListParagraph"/>
        <w:numPr>
          <w:ilvl w:val="0"/>
          <w:numId w:val="19"/>
        </w:numPr>
        <w:ind w:left="0" w:firstLine="0"/>
      </w:pPr>
      <w:r>
        <w:t xml:space="preserve">Some of the responses to this section of the consultation provided comments that are relevant to the </w:t>
      </w:r>
      <w:r w:rsidR="00BA2CEB">
        <w:t>later questions</w:t>
      </w:r>
      <w:r>
        <w:t xml:space="preserve">.  For this reason they are not covered here and have been considered alongside the relevant sections to which they refer.  </w:t>
      </w:r>
    </w:p>
    <w:p w14:paraId="7F0CF031" w14:textId="77777777" w:rsidR="00052EC2" w:rsidRDefault="00052EC2"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06AA1D53" w14:textId="53C3C46A" w:rsidR="007B1560" w:rsidRDefault="00066391"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szCs w:val="24"/>
          <w:lang w:eastAsia="en-GB"/>
        </w:rPr>
      </w:pPr>
      <w:r w:rsidRPr="007B1560">
        <w:rPr>
          <w:rFonts w:cs="Arial"/>
          <w:bCs/>
          <w:szCs w:val="24"/>
          <w:lang w:eastAsia="en-GB"/>
        </w:rPr>
        <w:t xml:space="preserve">The most </w:t>
      </w:r>
      <w:r w:rsidR="0063128C" w:rsidRPr="007B1560">
        <w:rPr>
          <w:rFonts w:cs="Arial"/>
          <w:bCs/>
          <w:szCs w:val="24"/>
          <w:lang w:eastAsia="en-GB"/>
        </w:rPr>
        <w:t>consist</w:t>
      </w:r>
      <w:r w:rsidR="00363BD9" w:rsidRPr="007B1560">
        <w:rPr>
          <w:rFonts w:cs="Arial"/>
          <w:bCs/>
          <w:szCs w:val="24"/>
          <w:lang w:eastAsia="en-GB"/>
        </w:rPr>
        <w:t>ent reply</w:t>
      </w:r>
      <w:r w:rsidRPr="007B1560">
        <w:rPr>
          <w:rFonts w:cs="Arial"/>
          <w:bCs/>
          <w:szCs w:val="24"/>
          <w:lang w:eastAsia="en-GB"/>
        </w:rPr>
        <w:t xml:space="preserve"> </w:t>
      </w:r>
      <w:r w:rsidR="0063128C" w:rsidRPr="007B1560">
        <w:rPr>
          <w:rFonts w:cs="Arial"/>
          <w:bCs/>
          <w:szCs w:val="24"/>
          <w:lang w:eastAsia="en-GB"/>
        </w:rPr>
        <w:t xml:space="preserve">was that any </w:t>
      </w:r>
      <w:proofErr w:type="spellStart"/>
      <w:r w:rsidR="0063128C" w:rsidRPr="007B1560">
        <w:rPr>
          <w:rFonts w:cs="Arial"/>
          <w:bCs/>
          <w:szCs w:val="24"/>
          <w:lang w:eastAsia="en-GB"/>
        </w:rPr>
        <w:t>LBTT</w:t>
      </w:r>
      <w:proofErr w:type="spellEnd"/>
      <w:r w:rsidR="0063128C" w:rsidRPr="007B1560">
        <w:rPr>
          <w:rFonts w:cs="Arial"/>
          <w:bCs/>
          <w:szCs w:val="24"/>
          <w:lang w:eastAsia="en-GB"/>
        </w:rPr>
        <w:t xml:space="preserve"> relief should be similar in scope and effect to what is available under </w:t>
      </w:r>
      <w:proofErr w:type="spellStart"/>
      <w:r w:rsidR="0063128C" w:rsidRPr="007B1560">
        <w:rPr>
          <w:rFonts w:cs="Arial"/>
          <w:bCs/>
          <w:szCs w:val="24"/>
          <w:lang w:eastAsia="en-GB"/>
        </w:rPr>
        <w:t>SDLT</w:t>
      </w:r>
      <w:proofErr w:type="spellEnd"/>
      <w:r w:rsidR="0063128C" w:rsidRPr="007B1560">
        <w:rPr>
          <w:rFonts w:cs="Arial"/>
          <w:bCs/>
          <w:szCs w:val="24"/>
          <w:lang w:eastAsia="en-GB"/>
        </w:rPr>
        <w:t xml:space="preserve">.  </w:t>
      </w:r>
      <w:r w:rsidR="009A2A44" w:rsidRPr="007B1560">
        <w:rPr>
          <w:rFonts w:cs="Arial"/>
          <w:bCs/>
          <w:szCs w:val="24"/>
          <w:lang w:eastAsia="en-GB"/>
        </w:rPr>
        <w:t xml:space="preserve"> This approach was summed up by</w:t>
      </w:r>
      <w:r w:rsidR="008811E6" w:rsidRPr="007B1560">
        <w:rPr>
          <w:rFonts w:cs="Arial"/>
          <w:bCs/>
          <w:szCs w:val="24"/>
          <w:lang w:eastAsia="en-GB"/>
        </w:rPr>
        <w:t xml:space="preserve"> </w:t>
      </w:r>
      <w:r w:rsidR="008811E6" w:rsidRPr="007B1560">
        <w:rPr>
          <w:rFonts w:cs="Arial"/>
          <w:szCs w:val="24"/>
          <w:lang w:eastAsia="en-GB"/>
        </w:rPr>
        <w:t xml:space="preserve">KPMG </w:t>
      </w:r>
      <w:r w:rsidR="009A2A44" w:rsidRPr="007B1560">
        <w:rPr>
          <w:rFonts w:cs="Arial"/>
          <w:szCs w:val="24"/>
          <w:lang w:eastAsia="en-GB"/>
        </w:rPr>
        <w:t xml:space="preserve">who </w:t>
      </w:r>
      <w:r w:rsidR="008811E6" w:rsidRPr="007B1560">
        <w:rPr>
          <w:rFonts w:cs="Arial"/>
          <w:szCs w:val="24"/>
          <w:lang w:eastAsia="en-GB"/>
        </w:rPr>
        <w:t xml:space="preserve">stated, </w:t>
      </w:r>
    </w:p>
    <w:p w14:paraId="1852FEE3" w14:textId="77777777" w:rsidR="007B1560" w:rsidRPr="007B1560" w:rsidRDefault="007B1560" w:rsidP="007B1560">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0"/>
        <w:jc w:val="left"/>
        <w:rPr>
          <w:rFonts w:cs="Arial"/>
          <w:szCs w:val="24"/>
          <w:lang w:eastAsia="en-GB"/>
        </w:rPr>
      </w:pPr>
    </w:p>
    <w:p w14:paraId="1A7FDC53" w14:textId="49057E9A" w:rsidR="007B1560" w:rsidRPr="00701A48" w:rsidRDefault="007B1560"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pPr>
      <w:r w:rsidRPr="00701A48">
        <w:rPr>
          <w:rFonts w:cs="Arial"/>
          <w:szCs w:val="24"/>
          <w:lang w:eastAsia="en-GB"/>
        </w:rPr>
        <w:tab/>
      </w:r>
      <w:r w:rsidR="008811E6" w:rsidRPr="00701A48">
        <w:rPr>
          <w:rFonts w:cs="Arial"/>
          <w:szCs w:val="24"/>
          <w:lang w:eastAsia="en-GB"/>
        </w:rPr>
        <w:t>“</w:t>
      </w:r>
      <w:r w:rsidR="009A2A44" w:rsidRPr="00701A48">
        <w:t xml:space="preserve">Parity with the </w:t>
      </w:r>
      <w:proofErr w:type="spellStart"/>
      <w:r w:rsidR="009A2A44" w:rsidRPr="00701A48">
        <w:t>SDLT</w:t>
      </w:r>
      <w:proofErr w:type="spellEnd"/>
      <w:r w:rsidR="009A2A44" w:rsidRPr="00701A48">
        <w:t xml:space="preserve"> regime…would allow Scottish property to be treated on an equal…with property in other parts of the UK…prevent bias against investing in property in Scotland…Simpler for business if conditions…for </w:t>
      </w:r>
      <w:proofErr w:type="spellStart"/>
      <w:r w:rsidR="009A2A44" w:rsidRPr="00701A48">
        <w:t>SDLT</w:t>
      </w:r>
      <w:proofErr w:type="spellEnd"/>
      <w:r w:rsidR="009A2A44" w:rsidRPr="00701A48">
        <w:t xml:space="preserve"> and </w:t>
      </w:r>
      <w:proofErr w:type="spellStart"/>
      <w:r w:rsidR="009A2A44" w:rsidRPr="00701A48">
        <w:t>LBTT</w:t>
      </w:r>
      <w:proofErr w:type="spellEnd"/>
      <w:r w:rsidR="009A2A44" w:rsidRPr="00701A48">
        <w:t xml:space="preserve"> were uniform”.  </w:t>
      </w:r>
    </w:p>
    <w:p w14:paraId="72D6B0B6" w14:textId="77777777" w:rsidR="007B1560" w:rsidRDefault="007B1560"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i/>
        </w:rPr>
      </w:pPr>
    </w:p>
    <w:p w14:paraId="65560293" w14:textId="4462B9D4" w:rsidR="00EB135B" w:rsidRDefault="009A2A44"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pPr>
      <w:r>
        <w:t xml:space="preserve">They did however make it clear that there were some parts of the current </w:t>
      </w:r>
      <w:proofErr w:type="spellStart"/>
      <w:r>
        <w:t>SDLT</w:t>
      </w:r>
      <w:proofErr w:type="spellEnd"/>
      <w:r>
        <w:t xml:space="preserve"> seeding </w:t>
      </w:r>
      <w:r w:rsidR="00E60020">
        <w:t>relief</w:t>
      </w:r>
      <w:r>
        <w:t xml:space="preserve"> that </w:t>
      </w:r>
      <w:r w:rsidR="00E60020">
        <w:t xml:space="preserve">may </w:t>
      </w:r>
      <w:r w:rsidR="0024161F">
        <w:t xml:space="preserve">require amendment.  </w:t>
      </w:r>
      <w:r w:rsidR="00052EC2">
        <w:t xml:space="preserve">This observation was echoed by other respondents, specifically in relation to the </w:t>
      </w:r>
      <w:proofErr w:type="spellStart"/>
      <w:r w:rsidR="00052EC2">
        <w:t>SDLT</w:t>
      </w:r>
      <w:proofErr w:type="spellEnd"/>
      <w:r w:rsidR="00052EC2">
        <w:t xml:space="preserve"> claw back provisions.  </w:t>
      </w:r>
    </w:p>
    <w:p w14:paraId="2FAD9CBE" w14:textId="77777777" w:rsidR="00363BD9" w:rsidRDefault="00363BD9"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rPr>
          <w:i/>
        </w:rPr>
      </w:pPr>
    </w:p>
    <w:p w14:paraId="03E9F7DF" w14:textId="0377DEAB" w:rsidR="009F5A75" w:rsidRDefault="009F5A75"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pPr>
      <w:r>
        <w:t xml:space="preserve">It is also of note that several respondents requested the Scottish Government consider extending a seeding relief from </w:t>
      </w:r>
      <w:proofErr w:type="spellStart"/>
      <w:r>
        <w:t>LBTT</w:t>
      </w:r>
      <w:proofErr w:type="spellEnd"/>
      <w:r>
        <w:t xml:space="preserve"> to cover seeding into Real Estate Investment Trusts (REITs).  These funds are where described as sharing common features with </w:t>
      </w:r>
      <w:proofErr w:type="spellStart"/>
      <w:r>
        <w:t>PAIFs</w:t>
      </w:r>
      <w:proofErr w:type="spellEnd"/>
      <w:r>
        <w:t xml:space="preserve"> and that </w:t>
      </w:r>
      <w:proofErr w:type="spellStart"/>
      <w:r>
        <w:t>PAIFs</w:t>
      </w:r>
      <w:proofErr w:type="spellEnd"/>
      <w:r>
        <w:t xml:space="preserve"> were introduced shortly after and as a direct consequence of the introduction of the REIT regime.  </w:t>
      </w:r>
    </w:p>
    <w:p w14:paraId="41D6D1B2" w14:textId="77777777" w:rsidR="009F5A75" w:rsidRDefault="009F5A75"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pPr>
    </w:p>
    <w:p w14:paraId="56EF0B00" w14:textId="7D254D6E" w:rsidR="00052EC2" w:rsidRDefault="009F5A75"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pPr>
      <w:r>
        <w:t xml:space="preserve">This section considered what the impact of a ‘do nothing’ approach on the part of the Scottish Government would be and the impact that this would have on businesses and business decisions.  </w:t>
      </w:r>
    </w:p>
    <w:p w14:paraId="5ED5DB08" w14:textId="77777777" w:rsidR="00052EC2" w:rsidRDefault="00052EC2"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pPr>
    </w:p>
    <w:p w14:paraId="76B47B84" w14:textId="77777777" w:rsidR="002E2CC4" w:rsidRDefault="009F5A75"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pPr>
      <w:r>
        <w:t>As with other comments in this section of the responses were in general agreement that a do nothing approach would have a negative consequence for Scotland whereas introduction of a relief would have a positive effect.  Eversheds explained</w:t>
      </w:r>
      <w:r w:rsidR="002E2CC4">
        <w:t xml:space="preserve">, </w:t>
      </w:r>
    </w:p>
    <w:p w14:paraId="55E8E152" w14:textId="77777777" w:rsidR="002E2CC4" w:rsidRDefault="002E2CC4"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pPr>
    </w:p>
    <w:p w14:paraId="6A3194D7" w14:textId="3A40F7BC" w:rsidR="002E2CC4" w:rsidRDefault="009F5A75"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i/>
        </w:rPr>
      </w:pPr>
      <w:r>
        <w:t xml:space="preserve"> </w:t>
      </w:r>
      <w:r>
        <w:rPr>
          <w:i/>
        </w:rPr>
        <w:t>“the positive impact would be property situated in Scotland would be considered on an equal basis with property in England and Northern Ireland…used to seed…</w:t>
      </w:r>
      <w:proofErr w:type="spellStart"/>
      <w:r>
        <w:rPr>
          <w:i/>
        </w:rPr>
        <w:t>CoACS</w:t>
      </w:r>
      <w:proofErr w:type="spellEnd"/>
      <w:r>
        <w:rPr>
          <w:i/>
        </w:rPr>
        <w:t xml:space="preserve"> and </w:t>
      </w:r>
      <w:proofErr w:type="spellStart"/>
      <w:r>
        <w:rPr>
          <w:i/>
        </w:rPr>
        <w:t>PAIFs</w:t>
      </w:r>
      <w:proofErr w:type="spellEnd"/>
      <w:r>
        <w:rPr>
          <w:i/>
        </w:rPr>
        <w:t xml:space="preserve">”.  </w:t>
      </w:r>
    </w:p>
    <w:p w14:paraId="696CC15C" w14:textId="77777777" w:rsidR="002E2CC4" w:rsidRDefault="002E2CC4"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i/>
        </w:rPr>
      </w:pPr>
    </w:p>
    <w:p w14:paraId="69376F88" w14:textId="62A8CFF8" w:rsidR="00E53D45" w:rsidRDefault="00FE3640" w:rsidP="00DF6B87">
      <w:pPr>
        <w:pStyle w:val="ListParagraph"/>
        <w:numPr>
          <w:ilvl w:val="0"/>
          <w:numId w:val="19"/>
        </w:numPr>
        <w:tabs>
          <w:tab w:val="clear" w:pos="720"/>
          <w:tab w:val="clear" w:pos="1440"/>
          <w:tab w:val="clear" w:pos="2160"/>
          <w:tab w:val="clear" w:pos="2880"/>
          <w:tab w:val="clear" w:pos="4680"/>
          <w:tab w:val="clear" w:pos="5400"/>
          <w:tab w:val="clear" w:pos="9000"/>
        </w:tabs>
        <w:spacing w:line="240" w:lineRule="auto"/>
        <w:ind w:left="0" w:firstLine="0"/>
        <w:jc w:val="left"/>
      </w:pPr>
      <w:r w:rsidRPr="002E2CC4">
        <w:lastRenderedPageBreak/>
        <w:t>In contrast to this another contributor explained it</w:t>
      </w:r>
      <w:r w:rsidR="00BC2B15" w:rsidRPr="002E2CC4">
        <w:t xml:space="preserve"> has not launched a Real Estate </w:t>
      </w:r>
      <w:proofErr w:type="spellStart"/>
      <w:r w:rsidR="00BC2B15" w:rsidRPr="002E2CC4">
        <w:t>CoACS</w:t>
      </w:r>
      <w:proofErr w:type="spellEnd"/>
      <w:r w:rsidR="002E2CC4">
        <w:t xml:space="preserve"> as a</w:t>
      </w:r>
      <w:r w:rsidR="00BC2B15" w:rsidRPr="002E2CC4">
        <w:t xml:space="preserve"> lack of a current </w:t>
      </w:r>
      <w:proofErr w:type="spellStart"/>
      <w:r w:rsidR="00BC2B15" w:rsidRPr="002E2CC4">
        <w:t>LBTT</w:t>
      </w:r>
      <w:proofErr w:type="spellEnd"/>
      <w:r w:rsidR="00BC2B15" w:rsidRPr="002E2CC4">
        <w:t xml:space="preserve"> seeding relief</w:t>
      </w:r>
      <w:r w:rsidR="002E2CC4">
        <w:t xml:space="preserve"> h</w:t>
      </w:r>
      <w:r w:rsidR="00BC2B15" w:rsidRPr="002E2CC4">
        <w:t>as</w:t>
      </w:r>
      <w:r w:rsidR="002E2CC4">
        <w:t xml:space="preserve"> to date</w:t>
      </w:r>
      <w:r w:rsidR="00BC2B15" w:rsidRPr="002E2CC4">
        <w:t xml:space="preserve"> been one of the barriers to seeding Scottish property into </w:t>
      </w:r>
      <w:proofErr w:type="spellStart"/>
      <w:r w:rsidR="00BC2B15" w:rsidRPr="002E2CC4">
        <w:t>CoACS</w:t>
      </w:r>
      <w:proofErr w:type="spellEnd"/>
      <w:r w:rsidR="00BC2B15" w:rsidRPr="002E2CC4">
        <w:t>.</w:t>
      </w:r>
      <w:r w:rsidR="00BC2B15" w:rsidRPr="007B1560">
        <w:rPr>
          <w:i/>
        </w:rPr>
        <w:t xml:space="preserve">  </w:t>
      </w:r>
      <w:r w:rsidR="002E2CC4" w:rsidRPr="002E2CC4">
        <w:t>S</w:t>
      </w:r>
      <w:r w:rsidRPr="002E2CC4">
        <w:t>o</w:t>
      </w:r>
      <w:r>
        <w:t>me</w:t>
      </w:r>
      <w:r w:rsidR="009F5A75">
        <w:t xml:space="preserve"> professional </w:t>
      </w:r>
      <w:r w:rsidR="00BC2B15">
        <w:t>bodies</w:t>
      </w:r>
      <w:r w:rsidR="009F5A75">
        <w:t xml:space="preserve"> advis</w:t>
      </w:r>
      <w:r w:rsidR="002E2CC4">
        <w:t>ed that</w:t>
      </w:r>
      <w:r>
        <w:t xml:space="preserve"> they suggest their</w:t>
      </w:r>
      <w:r w:rsidR="009F5A75">
        <w:t xml:space="preserve"> clients </w:t>
      </w:r>
      <w:r>
        <w:t>do not</w:t>
      </w:r>
      <w:r w:rsidR="009F5A75">
        <w:t xml:space="preserve"> invest in Scottish property and current fund operato</w:t>
      </w:r>
      <w:r w:rsidR="00BC2B15">
        <w:t xml:space="preserve">rs </w:t>
      </w:r>
      <w:r>
        <w:t>do not seed</w:t>
      </w:r>
      <w:r w:rsidR="00BC2B15">
        <w:t xml:space="preserve"> Scottish properties</w:t>
      </w:r>
      <w:r>
        <w:t xml:space="preserve"> into new fund types, in turn this could result in them</w:t>
      </w:r>
      <w:r w:rsidR="00BC2B15">
        <w:t xml:space="preserve"> potentiall</w:t>
      </w:r>
      <w:r>
        <w:t xml:space="preserve">y disposing of those properties. </w:t>
      </w:r>
    </w:p>
    <w:p w14:paraId="0EBE9465" w14:textId="77777777" w:rsidR="00FE1A7C" w:rsidRDefault="00FE1A7C" w:rsidP="00DF6B87">
      <w:pPr>
        <w:shd w:val="clear" w:color="auto" w:fill="FFFFFF"/>
        <w:tabs>
          <w:tab w:val="clear" w:pos="720"/>
          <w:tab w:val="clear" w:pos="1440"/>
          <w:tab w:val="clear" w:pos="2160"/>
          <w:tab w:val="clear" w:pos="2880"/>
          <w:tab w:val="clear" w:pos="4680"/>
          <w:tab w:val="clear" w:pos="5400"/>
          <w:tab w:val="clear" w:pos="9000"/>
        </w:tabs>
        <w:spacing w:line="240" w:lineRule="auto"/>
        <w:jc w:val="left"/>
      </w:pPr>
    </w:p>
    <w:p w14:paraId="404F8DF4" w14:textId="5840935C" w:rsidR="00FE1A7C" w:rsidRPr="007B1560" w:rsidRDefault="00FE1A7C" w:rsidP="00DF6B8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i/>
        </w:rPr>
      </w:pPr>
      <w:r>
        <w:t xml:space="preserve">There was one call for a retrospective effect should an </w:t>
      </w:r>
      <w:proofErr w:type="spellStart"/>
      <w:r>
        <w:t>LBTT</w:t>
      </w:r>
      <w:proofErr w:type="spellEnd"/>
      <w:r>
        <w:t xml:space="preserve"> seeding relief be introduced.  The suggestion </w:t>
      </w:r>
      <w:r w:rsidR="0068551D">
        <w:t>proposed that</w:t>
      </w:r>
      <w:r>
        <w:t xml:space="preserve"> funds that had seeded recently and left out Scottish property would be able to seed that property into their new fund and retrospectively benefit from the proposed relief.</w:t>
      </w:r>
    </w:p>
    <w:p w14:paraId="08889E8F" w14:textId="77777777" w:rsidR="00FE1A7C" w:rsidRDefault="00FE1A7C" w:rsidP="00DF6B87"/>
    <w:p w14:paraId="52CF57A8" w14:textId="216F0A88" w:rsidR="00E53D45" w:rsidRDefault="004C68E0" w:rsidP="00DF6B87">
      <w:pPr>
        <w:pStyle w:val="ListParagraph"/>
        <w:numPr>
          <w:ilvl w:val="0"/>
          <w:numId w:val="19"/>
        </w:numPr>
        <w:ind w:left="0" w:firstLine="0"/>
      </w:pPr>
      <w:r>
        <w:t xml:space="preserve">In summary </w:t>
      </w:r>
      <w:r w:rsidR="00FE1A7C">
        <w:t>respondents</w:t>
      </w:r>
      <w:r w:rsidR="00FE3640">
        <w:t xml:space="preserve"> were unanimous in their support for a seeding relief, </w:t>
      </w:r>
      <w:r w:rsidR="00E26E58">
        <w:t xml:space="preserve">that </w:t>
      </w:r>
      <w:r w:rsidR="00FE3640">
        <w:t xml:space="preserve">any relief should be similar to </w:t>
      </w:r>
      <w:proofErr w:type="spellStart"/>
      <w:r w:rsidR="00FE3640">
        <w:t>SDLT</w:t>
      </w:r>
      <w:proofErr w:type="spellEnd"/>
      <w:r w:rsidR="00FE3640">
        <w:t xml:space="preserve"> but not copy the claw back provisions for the current </w:t>
      </w:r>
      <w:proofErr w:type="spellStart"/>
      <w:r w:rsidR="00FE3640">
        <w:t>SDLT</w:t>
      </w:r>
      <w:proofErr w:type="spellEnd"/>
      <w:r w:rsidR="00FE3640">
        <w:t xml:space="preserve"> relief, co</w:t>
      </w:r>
      <w:r w:rsidR="006B10AA">
        <w:t>nsider using</w:t>
      </w:r>
      <w:r w:rsidR="00FE3640">
        <w:t xml:space="preserve"> different </w:t>
      </w:r>
      <w:r w:rsidR="00E26E58">
        <w:t xml:space="preserve">but targeted </w:t>
      </w:r>
      <w:r w:rsidR="00FE3640">
        <w:t>anti avoidance provisions</w:t>
      </w:r>
      <w:r w:rsidR="006B10AA">
        <w:t xml:space="preserve"> alongside the existing Scottish </w:t>
      </w:r>
      <w:proofErr w:type="spellStart"/>
      <w:r w:rsidR="006B10AA">
        <w:t>GAAR</w:t>
      </w:r>
      <w:proofErr w:type="spellEnd"/>
      <w:r w:rsidR="00FE3640">
        <w:t xml:space="preserve"> </w:t>
      </w:r>
      <w:r w:rsidR="00E26E58">
        <w:t xml:space="preserve">in the longer term </w:t>
      </w:r>
      <w:r w:rsidR="00FE3640">
        <w:t>and to consider including R</w:t>
      </w:r>
      <w:r w:rsidR="00E26E58">
        <w:t xml:space="preserve">eal </w:t>
      </w:r>
      <w:r w:rsidR="00FE3640">
        <w:t>E</w:t>
      </w:r>
      <w:r w:rsidR="00E26E58">
        <w:t xml:space="preserve">state </w:t>
      </w:r>
      <w:r w:rsidR="00FE3640">
        <w:t>I</w:t>
      </w:r>
      <w:r w:rsidR="00E26E58">
        <w:t xml:space="preserve">nvestment </w:t>
      </w:r>
      <w:proofErr w:type="spellStart"/>
      <w:r w:rsidR="00FE3640">
        <w:t>T</w:t>
      </w:r>
      <w:r w:rsidR="00E26E58">
        <w:t>rust</w:t>
      </w:r>
      <w:r w:rsidR="00FE3640">
        <w:t>’</w:t>
      </w:r>
      <w:r w:rsidR="00FE1A7C">
        <w:t>s</w:t>
      </w:r>
      <w:proofErr w:type="spellEnd"/>
      <w:r w:rsidR="00E26E58">
        <w:t xml:space="preserve"> (REITs)</w:t>
      </w:r>
      <w:r w:rsidR="00FE1A7C">
        <w:t xml:space="preserve"> </w:t>
      </w:r>
      <w:r w:rsidR="00E26E58">
        <w:t>if any</w:t>
      </w:r>
      <w:r w:rsidR="00FE3640">
        <w:t xml:space="preserve"> </w:t>
      </w:r>
      <w:proofErr w:type="spellStart"/>
      <w:r w:rsidR="00FE3640">
        <w:t>LBTT</w:t>
      </w:r>
      <w:proofErr w:type="spellEnd"/>
      <w:r w:rsidR="00FE3640">
        <w:t xml:space="preserve"> seeding relief</w:t>
      </w:r>
      <w:r w:rsidR="00FE1A7C">
        <w:t xml:space="preserve"> is introduced.</w:t>
      </w:r>
    </w:p>
    <w:p w14:paraId="0FAC788B" w14:textId="77777777" w:rsidR="002E2CC4" w:rsidRPr="00EA6573" w:rsidRDefault="002E2CC4" w:rsidP="00FE3640">
      <w:pPr>
        <w:rPr>
          <w:u w:val="single"/>
        </w:rPr>
      </w:pPr>
    </w:p>
    <w:p w14:paraId="23ABE06E" w14:textId="77777777" w:rsidR="00EA6573" w:rsidRDefault="00EA6573">
      <w:pPr>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caps/>
          <w:szCs w:val="24"/>
        </w:rPr>
      </w:pPr>
      <w:r>
        <w:rPr>
          <w:rFonts w:ascii="Arial Bold" w:hAnsi="Arial Bold" w:cs="Arial"/>
          <w:caps/>
          <w:szCs w:val="24"/>
        </w:rPr>
        <w:br w:type="page"/>
      </w:r>
    </w:p>
    <w:p w14:paraId="1EFCAD45" w14:textId="42E699ED" w:rsidR="008811E6" w:rsidRPr="00EA6573" w:rsidRDefault="00BA0B6C"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caps/>
          <w:szCs w:val="24"/>
          <w:lang w:eastAsia="en-GB"/>
        </w:rPr>
      </w:pPr>
      <w:proofErr w:type="spellStart"/>
      <w:r w:rsidRPr="00EA6573">
        <w:rPr>
          <w:rFonts w:ascii="Arial Bold" w:hAnsi="Arial Bold" w:cs="Arial"/>
          <w:caps/>
          <w:szCs w:val="24"/>
        </w:rPr>
        <w:lastRenderedPageBreak/>
        <w:t>LBTT</w:t>
      </w:r>
      <w:proofErr w:type="spellEnd"/>
      <w:r w:rsidRPr="00EA6573">
        <w:rPr>
          <w:rFonts w:ascii="Arial Bold" w:hAnsi="Arial Bold" w:cs="Arial"/>
          <w:caps/>
          <w:szCs w:val="24"/>
        </w:rPr>
        <w:t xml:space="preserve"> Treatment of </w:t>
      </w:r>
      <w:proofErr w:type="spellStart"/>
      <w:r w:rsidRPr="00EA6573">
        <w:rPr>
          <w:rFonts w:ascii="Arial Bold" w:hAnsi="Arial Bold" w:cs="Arial"/>
          <w:caps/>
          <w:szCs w:val="24"/>
        </w:rPr>
        <w:t>C</w:t>
      </w:r>
      <w:r w:rsidR="00052EC2" w:rsidRPr="00EA6573">
        <w:rPr>
          <w:rFonts w:ascii="Arial Bold" w:hAnsi="Arial Bold" w:cs="Arial"/>
          <w:caps/>
          <w:szCs w:val="24"/>
        </w:rPr>
        <w:t>o</w:t>
      </w:r>
      <w:r w:rsidR="00155A99" w:rsidRPr="00EA6573">
        <w:rPr>
          <w:rFonts w:ascii="Arial Bold" w:hAnsi="Arial Bold" w:cs="Arial"/>
          <w:caps/>
          <w:szCs w:val="24"/>
        </w:rPr>
        <w:t>acs</w:t>
      </w:r>
      <w:proofErr w:type="spellEnd"/>
    </w:p>
    <w:p w14:paraId="5E8FFD9E" w14:textId="77777777" w:rsidR="008811E6" w:rsidRPr="00FE1A7C"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55017029" w14:textId="5478CFFE" w:rsidR="008811E6" w:rsidRPr="007B1560" w:rsidRDefault="008811E6"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B1560">
        <w:rPr>
          <w:rFonts w:cs="Arial"/>
          <w:bCs/>
          <w:szCs w:val="24"/>
          <w:lang w:eastAsia="en-GB"/>
        </w:rPr>
        <w:t>Th</w:t>
      </w:r>
      <w:r w:rsidR="006B10AA" w:rsidRPr="007B1560">
        <w:rPr>
          <w:rFonts w:cs="Arial"/>
          <w:bCs/>
          <w:szCs w:val="24"/>
          <w:lang w:eastAsia="en-GB"/>
        </w:rPr>
        <w:t xml:space="preserve">is section </w:t>
      </w:r>
      <w:r w:rsidR="00897A8C">
        <w:rPr>
          <w:rFonts w:cs="Arial"/>
          <w:bCs/>
          <w:szCs w:val="24"/>
          <w:lang w:eastAsia="en-GB"/>
        </w:rPr>
        <w:t xml:space="preserve">of the consultation </w:t>
      </w:r>
      <w:r w:rsidR="006B10AA" w:rsidRPr="007B1560">
        <w:rPr>
          <w:rFonts w:cs="Arial"/>
          <w:bCs/>
          <w:szCs w:val="24"/>
          <w:lang w:eastAsia="en-GB"/>
        </w:rPr>
        <w:t xml:space="preserve">sought to gather views </w:t>
      </w:r>
      <w:r w:rsidR="001F124E" w:rsidRPr="007B1560">
        <w:rPr>
          <w:rFonts w:cs="Arial"/>
          <w:bCs/>
          <w:szCs w:val="24"/>
          <w:lang w:eastAsia="en-GB"/>
        </w:rPr>
        <w:t>on the possible introduction of</w:t>
      </w:r>
      <w:r w:rsidR="006B10AA" w:rsidRPr="007B1560">
        <w:rPr>
          <w:rFonts w:cs="Arial"/>
          <w:bCs/>
          <w:szCs w:val="24"/>
          <w:lang w:eastAsia="en-GB"/>
        </w:rPr>
        <w:t xml:space="preserve"> a</w:t>
      </w:r>
      <w:r w:rsidR="001F124E" w:rsidRPr="007B1560">
        <w:rPr>
          <w:rFonts w:cs="Arial"/>
          <w:bCs/>
          <w:szCs w:val="24"/>
          <w:lang w:eastAsia="en-GB"/>
        </w:rPr>
        <w:t xml:space="preserve">n </w:t>
      </w:r>
      <w:proofErr w:type="spellStart"/>
      <w:r w:rsidR="001F124E" w:rsidRPr="007B1560">
        <w:rPr>
          <w:rFonts w:cs="Arial"/>
          <w:bCs/>
          <w:szCs w:val="24"/>
          <w:lang w:eastAsia="en-GB"/>
        </w:rPr>
        <w:t>LBTT</w:t>
      </w:r>
      <w:proofErr w:type="spellEnd"/>
      <w:r w:rsidR="006B10AA" w:rsidRPr="007B1560">
        <w:rPr>
          <w:rFonts w:cs="Arial"/>
          <w:bCs/>
          <w:szCs w:val="24"/>
          <w:lang w:eastAsia="en-GB"/>
        </w:rPr>
        <w:t xml:space="preserve"> relief for the exchange of units within </w:t>
      </w:r>
      <w:proofErr w:type="spellStart"/>
      <w:r w:rsidR="006B10AA" w:rsidRPr="007B1560">
        <w:rPr>
          <w:rFonts w:cs="Arial"/>
          <w:bCs/>
          <w:szCs w:val="24"/>
          <w:lang w:eastAsia="en-GB"/>
        </w:rPr>
        <w:t>CoACS</w:t>
      </w:r>
      <w:proofErr w:type="spellEnd"/>
      <w:r w:rsidR="006B10AA" w:rsidRPr="007B1560">
        <w:rPr>
          <w:rFonts w:cs="Arial"/>
          <w:bCs/>
          <w:szCs w:val="24"/>
          <w:lang w:eastAsia="en-GB"/>
        </w:rPr>
        <w:t xml:space="preserve">, the potential benefits and drawbacks of this, the effect </w:t>
      </w:r>
      <w:r w:rsidR="00C321EE" w:rsidRPr="007B1560">
        <w:rPr>
          <w:rFonts w:cs="Arial"/>
          <w:bCs/>
          <w:szCs w:val="24"/>
          <w:lang w:eastAsia="en-GB"/>
        </w:rPr>
        <w:t>of a do nothing approach and</w:t>
      </w:r>
      <w:r w:rsidR="006B10AA" w:rsidRPr="007B1560">
        <w:rPr>
          <w:rFonts w:cs="Arial"/>
          <w:bCs/>
          <w:szCs w:val="24"/>
          <w:lang w:eastAsia="en-GB"/>
        </w:rPr>
        <w:t xml:space="preserve"> </w:t>
      </w:r>
      <w:r w:rsidR="00C321EE" w:rsidRPr="007B1560">
        <w:rPr>
          <w:rFonts w:cs="Arial"/>
          <w:bCs/>
          <w:szCs w:val="24"/>
          <w:lang w:eastAsia="en-GB"/>
        </w:rPr>
        <w:t xml:space="preserve">general </w:t>
      </w:r>
      <w:r w:rsidR="006B10AA" w:rsidRPr="007B1560">
        <w:rPr>
          <w:rFonts w:cs="Arial"/>
          <w:bCs/>
          <w:szCs w:val="24"/>
          <w:lang w:eastAsia="en-GB"/>
        </w:rPr>
        <w:t xml:space="preserve">comments, evidence or detail related to the exchange of units.  </w:t>
      </w:r>
    </w:p>
    <w:p w14:paraId="3338C5F6" w14:textId="77777777" w:rsidR="008811E6" w:rsidRPr="00FE1A7C" w:rsidRDefault="008811E6" w:rsidP="004B0BF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79DEC496" w14:textId="586FEB94" w:rsidR="008811E6" w:rsidRPr="007B1560" w:rsidRDefault="001F124E"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lang w:eastAsia="en-GB"/>
        </w:rPr>
      </w:pPr>
      <w:r w:rsidRPr="007B1560">
        <w:rPr>
          <w:rFonts w:cs="Arial"/>
          <w:bCs/>
          <w:szCs w:val="24"/>
          <w:lang w:eastAsia="en-GB"/>
        </w:rPr>
        <w:t xml:space="preserve">There was unanimous support for the introduction of a relief for the exchange of units within </w:t>
      </w:r>
      <w:proofErr w:type="spellStart"/>
      <w:r w:rsidRPr="007B1560">
        <w:rPr>
          <w:rFonts w:cs="Arial"/>
          <w:bCs/>
          <w:szCs w:val="24"/>
          <w:lang w:eastAsia="en-GB"/>
        </w:rPr>
        <w:t>CoACS</w:t>
      </w:r>
      <w:proofErr w:type="spellEnd"/>
      <w:r w:rsidR="00EC5AED" w:rsidRPr="007B1560">
        <w:rPr>
          <w:rFonts w:cs="Arial"/>
          <w:bCs/>
          <w:szCs w:val="24"/>
          <w:lang w:eastAsia="en-GB"/>
        </w:rPr>
        <w:t>,</w:t>
      </w:r>
      <w:r w:rsidRPr="007B1560">
        <w:rPr>
          <w:rFonts w:cs="Arial"/>
          <w:szCs w:val="24"/>
          <w:lang w:eastAsia="en-GB"/>
        </w:rPr>
        <w:t xml:space="preserve"> similar to the support for introducing a seeding relief.</w:t>
      </w:r>
      <w:r w:rsidR="000D708E" w:rsidRPr="007B1560">
        <w:rPr>
          <w:rFonts w:cs="Arial"/>
          <w:szCs w:val="24"/>
          <w:lang w:eastAsia="en-GB"/>
        </w:rPr>
        <w:t xml:space="preserve">  </w:t>
      </w:r>
      <w:r w:rsidR="00737BBD" w:rsidRPr="007B1560">
        <w:rPr>
          <w:bCs/>
          <w:lang w:eastAsia="en-GB"/>
        </w:rPr>
        <w:t xml:space="preserve">Several respondents stated the exchange of units in a </w:t>
      </w:r>
      <w:proofErr w:type="spellStart"/>
      <w:r w:rsidR="00737BBD" w:rsidRPr="007B1560">
        <w:rPr>
          <w:bCs/>
          <w:lang w:eastAsia="en-GB"/>
        </w:rPr>
        <w:t>CoACS</w:t>
      </w:r>
      <w:proofErr w:type="spellEnd"/>
      <w:r w:rsidR="00737BBD" w:rsidRPr="007B1560">
        <w:rPr>
          <w:bCs/>
          <w:lang w:eastAsia="en-GB"/>
        </w:rPr>
        <w:t xml:space="preserve"> should be opaque for </w:t>
      </w:r>
      <w:proofErr w:type="spellStart"/>
      <w:r w:rsidR="00737BBD" w:rsidRPr="007B1560">
        <w:rPr>
          <w:bCs/>
          <w:lang w:eastAsia="en-GB"/>
        </w:rPr>
        <w:t>LBTT</w:t>
      </w:r>
      <w:proofErr w:type="spellEnd"/>
      <w:r w:rsidR="00737BBD" w:rsidRPr="007B1560">
        <w:rPr>
          <w:bCs/>
          <w:lang w:eastAsia="en-GB"/>
        </w:rPr>
        <w:t xml:space="preserve"> purposes similar to </w:t>
      </w:r>
      <w:proofErr w:type="spellStart"/>
      <w:r w:rsidR="00737BBD" w:rsidRPr="007B1560">
        <w:rPr>
          <w:bCs/>
          <w:lang w:eastAsia="en-GB"/>
        </w:rPr>
        <w:t>SDLT</w:t>
      </w:r>
      <w:proofErr w:type="spellEnd"/>
      <w:r w:rsidR="00737BBD" w:rsidRPr="007B1560">
        <w:rPr>
          <w:bCs/>
          <w:lang w:eastAsia="en-GB"/>
        </w:rPr>
        <w:t xml:space="preserve"> and </w:t>
      </w:r>
      <w:proofErr w:type="spellStart"/>
      <w:r w:rsidR="00737BBD" w:rsidRPr="007B1560">
        <w:rPr>
          <w:bCs/>
          <w:lang w:eastAsia="en-GB"/>
        </w:rPr>
        <w:t>LTT</w:t>
      </w:r>
      <w:proofErr w:type="spellEnd"/>
      <w:r w:rsidR="00737BBD" w:rsidRPr="007B1560">
        <w:rPr>
          <w:bCs/>
          <w:lang w:eastAsia="en-GB"/>
        </w:rPr>
        <w:t xml:space="preserve">.       </w:t>
      </w:r>
    </w:p>
    <w:p w14:paraId="58AD67BA" w14:textId="77777777" w:rsidR="00737BBD" w:rsidRPr="00FE1A7C" w:rsidRDefault="00737BBD" w:rsidP="004B0BF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
    <w:p w14:paraId="7228A420" w14:textId="520AF057" w:rsidR="004B57B9" w:rsidRPr="007B1560" w:rsidRDefault="00EC5AED"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lang w:eastAsia="en-GB"/>
        </w:rPr>
      </w:pPr>
      <w:r w:rsidRPr="007B1560">
        <w:rPr>
          <w:bCs/>
          <w:lang w:eastAsia="en-GB"/>
        </w:rPr>
        <w:t>The replies re</w:t>
      </w:r>
      <w:r w:rsidR="00D877E4" w:rsidRPr="007B1560">
        <w:rPr>
          <w:bCs/>
          <w:lang w:eastAsia="en-GB"/>
        </w:rPr>
        <w:t xml:space="preserve">ceived </w:t>
      </w:r>
      <w:r w:rsidR="00372EB7" w:rsidRPr="007B1560">
        <w:rPr>
          <w:bCs/>
          <w:lang w:eastAsia="en-GB"/>
        </w:rPr>
        <w:t xml:space="preserve">on </w:t>
      </w:r>
      <w:r w:rsidR="00A1078D" w:rsidRPr="007B1560">
        <w:rPr>
          <w:bCs/>
          <w:lang w:eastAsia="en-GB"/>
        </w:rPr>
        <w:t>positive or</w:t>
      </w:r>
      <w:r w:rsidR="00D877E4" w:rsidRPr="007B1560">
        <w:rPr>
          <w:bCs/>
          <w:lang w:eastAsia="en-GB"/>
        </w:rPr>
        <w:t xml:space="preserve"> negative impacts of a r</w:t>
      </w:r>
      <w:r w:rsidR="00372EB7" w:rsidRPr="007B1560">
        <w:rPr>
          <w:bCs/>
          <w:lang w:eastAsia="en-GB"/>
        </w:rPr>
        <w:t xml:space="preserve">elief for exchanges focussed </w:t>
      </w:r>
      <w:r w:rsidR="00A1078D" w:rsidRPr="007B1560">
        <w:rPr>
          <w:bCs/>
          <w:lang w:eastAsia="en-GB"/>
        </w:rPr>
        <w:t>exclusively</w:t>
      </w:r>
      <w:r w:rsidR="00372EB7" w:rsidRPr="007B1560">
        <w:rPr>
          <w:bCs/>
          <w:lang w:eastAsia="en-GB"/>
        </w:rPr>
        <w:t xml:space="preserve"> on the positive consequences</w:t>
      </w:r>
      <w:r w:rsidR="004B57B9" w:rsidRPr="007B1560">
        <w:rPr>
          <w:bCs/>
          <w:lang w:eastAsia="en-GB"/>
        </w:rPr>
        <w:t xml:space="preserve"> of such a relief.  Four contributions </w:t>
      </w:r>
      <w:r w:rsidR="00A1078D" w:rsidRPr="007B1560">
        <w:rPr>
          <w:bCs/>
          <w:lang w:eastAsia="en-GB"/>
        </w:rPr>
        <w:t xml:space="preserve">stated explicitly that there would be no negative consequences if a relief for exchanges was introduced.  </w:t>
      </w:r>
      <w:r w:rsidR="00DA297B" w:rsidRPr="007B1560">
        <w:rPr>
          <w:bCs/>
          <w:lang w:eastAsia="en-GB"/>
        </w:rPr>
        <w:t xml:space="preserve"> The replies did not provide </w:t>
      </w:r>
      <w:r w:rsidR="00737BBD" w:rsidRPr="007B1560">
        <w:rPr>
          <w:bCs/>
          <w:lang w:eastAsia="en-GB"/>
        </w:rPr>
        <w:t xml:space="preserve">any </w:t>
      </w:r>
      <w:r w:rsidR="00DA297B" w:rsidRPr="007B1560">
        <w:rPr>
          <w:bCs/>
          <w:lang w:eastAsia="en-GB"/>
        </w:rPr>
        <w:t xml:space="preserve">examples of </w:t>
      </w:r>
      <w:r w:rsidR="00737BBD" w:rsidRPr="007B1560">
        <w:rPr>
          <w:bCs/>
          <w:lang w:eastAsia="en-GB"/>
        </w:rPr>
        <w:t xml:space="preserve">potentially </w:t>
      </w:r>
      <w:r w:rsidR="00DA297B" w:rsidRPr="007B1560">
        <w:rPr>
          <w:bCs/>
          <w:lang w:eastAsia="en-GB"/>
        </w:rPr>
        <w:t>negative consequences.</w:t>
      </w:r>
    </w:p>
    <w:p w14:paraId="1C2D66B9" w14:textId="77777777" w:rsidR="004B57B9" w:rsidRDefault="004B57B9" w:rsidP="004B0BF7">
      <w:pPr>
        <w:shd w:val="clear" w:color="auto" w:fill="FFFFFF"/>
        <w:tabs>
          <w:tab w:val="clear" w:pos="720"/>
          <w:tab w:val="clear" w:pos="1440"/>
          <w:tab w:val="clear" w:pos="2160"/>
          <w:tab w:val="clear" w:pos="2880"/>
          <w:tab w:val="clear" w:pos="4680"/>
          <w:tab w:val="clear" w:pos="5400"/>
          <w:tab w:val="clear" w:pos="9000"/>
        </w:tabs>
        <w:spacing w:line="240" w:lineRule="auto"/>
        <w:jc w:val="left"/>
        <w:rPr>
          <w:bCs/>
          <w:lang w:eastAsia="en-GB"/>
        </w:rPr>
      </w:pPr>
    </w:p>
    <w:p w14:paraId="739893E0" w14:textId="77777777" w:rsidR="005130CE" w:rsidRPr="007B1560" w:rsidRDefault="00A1078D"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lang w:eastAsia="en-GB"/>
        </w:rPr>
      </w:pPr>
      <w:r w:rsidRPr="007B1560">
        <w:rPr>
          <w:bCs/>
          <w:lang w:eastAsia="en-GB"/>
        </w:rPr>
        <w:t>The general theme</w:t>
      </w:r>
      <w:r w:rsidR="00340A67" w:rsidRPr="007B1560">
        <w:rPr>
          <w:bCs/>
          <w:lang w:eastAsia="en-GB"/>
        </w:rPr>
        <w:t xml:space="preserve"> extracted from responses</w:t>
      </w:r>
      <w:r w:rsidR="004B57B9" w:rsidRPr="007B1560">
        <w:rPr>
          <w:bCs/>
          <w:lang w:eastAsia="en-GB"/>
        </w:rPr>
        <w:t xml:space="preserve"> is</w:t>
      </w:r>
      <w:r w:rsidRPr="007B1560">
        <w:rPr>
          <w:bCs/>
          <w:lang w:eastAsia="en-GB"/>
        </w:rPr>
        <w:t xml:space="preserve"> that the Scottish Government could </w:t>
      </w:r>
      <w:r w:rsidR="00AA1F50" w:rsidRPr="007B1560">
        <w:rPr>
          <w:bCs/>
          <w:lang w:eastAsia="en-GB"/>
        </w:rPr>
        <w:t xml:space="preserve">and should seek to </w:t>
      </w:r>
      <w:r w:rsidRPr="007B1560">
        <w:rPr>
          <w:bCs/>
          <w:lang w:eastAsia="en-GB"/>
        </w:rPr>
        <w:t xml:space="preserve">achieve parity with </w:t>
      </w:r>
      <w:proofErr w:type="spellStart"/>
      <w:r w:rsidRPr="007B1560">
        <w:rPr>
          <w:bCs/>
          <w:lang w:eastAsia="en-GB"/>
        </w:rPr>
        <w:t>SDLT</w:t>
      </w:r>
      <w:proofErr w:type="spellEnd"/>
      <w:r w:rsidR="00340A67" w:rsidRPr="007B1560">
        <w:rPr>
          <w:bCs/>
          <w:lang w:eastAsia="en-GB"/>
        </w:rPr>
        <w:t>.  This would be achieved by</w:t>
      </w:r>
      <w:r w:rsidR="003646DB" w:rsidRPr="007B1560">
        <w:rPr>
          <w:bCs/>
          <w:lang w:eastAsia="en-GB"/>
        </w:rPr>
        <w:t xml:space="preserve"> introducing a</w:t>
      </w:r>
      <w:r w:rsidRPr="007B1560">
        <w:rPr>
          <w:bCs/>
          <w:lang w:eastAsia="en-GB"/>
        </w:rPr>
        <w:t xml:space="preserve"> relief for exchanges</w:t>
      </w:r>
      <w:r w:rsidR="003646DB" w:rsidRPr="007B1560">
        <w:rPr>
          <w:bCs/>
          <w:lang w:eastAsia="en-GB"/>
        </w:rPr>
        <w:t xml:space="preserve"> of units within </w:t>
      </w:r>
      <w:proofErr w:type="spellStart"/>
      <w:r w:rsidR="003646DB" w:rsidRPr="007B1560">
        <w:rPr>
          <w:bCs/>
          <w:lang w:eastAsia="en-GB"/>
        </w:rPr>
        <w:t>CoACS</w:t>
      </w:r>
      <w:proofErr w:type="spellEnd"/>
      <w:r w:rsidR="004B57B9" w:rsidRPr="007B1560">
        <w:rPr>
          <w:bCs/>
          <w:lang w:eastAsia="en-GB"/>
        </w:rPr>
        <w:t>. It was suggested that</w:t>
      </w:r>
      <w:r w:rsidRPr="007B1560">
        <w:rPr>
          <w:bCs/>
          <w:lang w:eastAsia="en-GB"/>
        </w:rPr>
        <w:t xml:space="preserve"> </w:t>
      </w:r>
      <w:r w:rsidR="004B57B9" w:rsidRPr="007B1560">
        <w:rPr>
          <w:bCs/>
          <w:lang w:eastAsia="en-GB"/>
        </w:rPr>
        <w:t>this</w:t>
      </w:r>
      <w:r w:rsidRPr="007B1560">
        <w:rPr>
          <w:bCs/>
          <w:lang w:eastAsia="en-GB"/>
        </w:rPr>
        <w:t xml:space="preserve"> would be welcomed by investment fund managers, investors </w:t>
      </w:r>
      <w:r w:rsidR="00340A67" w:rsidRPr="007B1560">
        <w:rPr>
          <w:bCs/>
          <w:lang w:eastAsia="en-GB"/>
        </w:rPr>
        <w:t xml:space="preserve">themselves </w:t>
      </w:r>
      <w:r w:rsidRPr="007B1560">
        <w:rPr>
          <w:bCs/>
          <w:lang w:eastAsia="en-GB"/>
        </w:rPr>
        <w:t xml:space="preserve">and </w:t>
      </w:r>
      <w:r w:rsidR="00340A67" w:rsidRPr="007B1560">
        <w:rPr>
          <w:bCs/>
          <w:lang w:eastAsia="en-GB"/>
        </w:rPr>
        <w:t xml:space="preserve">other </w:t>
      </w:r>
      <w:r w:rsidRPr="007B1560">
        <w:rPr>
          <w:bCs/>
          <w:lang w:eastAsia="en-GB"/>
        </w:rPr>
        <w:t>operators as it would reduce the tax administration burden</w:t>
      </w:r>
      <w:r w:rsidR="00AA1F50" w:rsidRPr="007B1560">
        <w:rPr>
          <w:bCs/>
          <w:lang w:eastAsia="en-GB"/>
        </w:rPr>
        <w:t xml:space="preserve">, be </w:t>
      </w:r>
      <w:r w:rsidR="005724C9" w:rsidRPr="007B1560">
        <w:rPr>
          <w:bCs/>
          <w:lang w:eastAsia="en-GB"/>
        </w:rPr>
        <w:t>convenient</w:t>
      </w:r>
      <w:r w:rsidR="00AA1F50" w:rsidRPr="007B1560">
        <w:rPr>
          <w:bCs/>
          <w:lang w:eastAsia="en-GB"/>
        </w:rPr>
        <w:t xml:space="preserve"> and create certainty of tax treatment across regimes</w:t>
      </w:r>
      <w:r w:rsidR="005724C9" w:rsidRPr="007B1560">
        <w:rPr>
          <w:bCs/>
          <w:lang w:eastAsia="en-GB"/>
        </w:rPr>
        <w:t xml:space="preserve"> (</w:t>
      </w:r>
      <w:proofErr w:type="spellStart"/>
      <w:r w:rsidR="005724C9" w:rsidRPr="007B1560">
        <w:rPr>
          <w:bCs/>
          <w:lang w:eastAsia="en-GB"/>
        </w:rPr>
        <w:t>SDLT</w:t>
      </w:r>
      <w:proofErr w:type="spellEnd"/>
      <w:r w:rsidR="005724C9" w:rsidRPr="007B1560">
        <w:rPr>
          <w:bCs/>
          <w:lang w:eastAsia="en-GB"/>
        </w:rPr>
        <w:t xml:space="preserve">, </w:t>
      </w:r>
      <w:proofErr w:type="spellStart"/>
      <w:r w:rsidR="005724C9" w:rsidRPr="007B1560">
        <w:rPr>
          <w:bCs/>
          <w:lang w:eastAsia="en-GB"/>
        </w:rPr>
        <w:t>LBTT</w:t>
      </w:r>
      <w:proofErr w:type="spellEnd"/>
      <w:r w:rsidR="005724C9" w:rsidRPr="007B1560">
        <w:rPr>
          <w:bCs/>
          <w:lang w:eastAsia="en-GB"/>
        </w:rPr>
        <w:t xml:space="preserve"> and </w:t>
      </w:r>
      <w:proofErr w:type="spellStart"/>
      <w:r w:rsidR="005724C9" w:rsidRPr="007B1560">
        <w:rPr>
          <w:bCs/>
          <w:lang w:eastAsia="en-GB"/>
        </w:rPr>
        <w:t>LTT</w:t>
      </w:r>
      <w:proofErr w:type="spellEnd"/>
      <w:r w:rsidR="005724C9" w:rsidRPr="007B1560">
        <w:rPr>
          <w:bCs/>
          <w:lang w:eastAsia="en-GB"/>
        </w:rPr>
        <w:t>)</w:t>
      </w:r>
      <w:r w:rsidR="00340A67" w:rsidRPr="007B1560">
        <w:rPr>
          <w:bCs/>
          <w:lang w:eastAsia="en-GB"/>
        </w:rPr>
        <w:t xml:space="preserve"> within the UK</w:t>
      </w:r>
      <w:r w:rsidR="00AA1F50" w:rsidRPr="007B1560">
        <w:rPr>
          <w:bCs/>
          <w:lang w:eastAsia="en-GB"/>
        </w:rPr>
        <w:t xml:space="preserve">.  </w:t>
      </w:r>
      <w:proofErr w:type="spellStart"/>
      <w:r w:rsidR="005724C9" w:rsidRPr="007B1560">
        <w:rPr>
          <w:bCs/>
          <w:lang w:eastAsia="en-GB"/>
        </w:rPr>
        <w:t>CIOT</w:t>
      </w:r>
      <w:proofErr w:type="spellEnd"/>
      <w:r w:rsidR="005724C9" w:rsidRPr="007B1560">
        <w:rPr>
          <w:bCs/>
          <w:lang w:eastAsia="en-GB"/>
        </w:rPr>
        <w:t xml:space="preserve"> summed this up in their reply </w:t>
      </w:r>
      <w:r w:rsidR="005130CE" w:rsidRPr="007B1560">
        <w:rPr>
          <w:bCs/>
          <w:lang w:eastAsia="en-GB"/>
        </w:rPr>
        <w:t>that</w:t>
      </w:r>
    </w:p>
    <w:p w14:paraId="500A0CD2" w14:textId="77777777" w:rsidR="005130CE" w:rsidRDefault="005130CE"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lang w:eastAsia="en-GB"/>
        </w:rPr>
      </w:pPr>
    </w:p>
    <w:p w14:paraId="75E2189F" w14:textId="2732EF3D" w:rsidR="005130CE" w:rsidRPr="00701A48" w:rsidRDefault="00D64F9F"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lang w:eastAsia="en-GB"/>
        </w:rPr>
      </w:pPr>
      <w:r>
        <w:rPr>
          <w:bCs/>
          <w:i/>
          <w:lang w:eastAsia="en-GB"/>
        </w:rPr>
        <w:tab/>
      </w:r>
      <w:r w:rsidR="005724C9" w:rsidRPr="00701A48">
        <w:rPr>
          <w:bCs/>
          <w:lang w:eastAsia="en-GB"/>
        </w:rPr>
        <w:t xml:space="preserve">“A relief along the lines of that available under </w:t>
      </w:r>
      <w:proofErr w:type="spellStart"/>
      <w:r w:rsidR="005724C9" w:rsidRPr="00701A48">
        <w:rPr>
          <w:bCs/>
          <w:lang w:eastAsia="en-GB"/>
        </w:rPr>
        <w:t>SDLT</w:t>
      </w:r>
      <w:proofErr w:type="spellEnd"/>
      <w:r w:rsidR="005724C9" w:rsidRPr="00701A48">
        <w:rPr>
          <w:bCs/>
          <w:lang w:eastAsia="en-GB"/>
        </w:rPr>
        <w:t xml:space="preserve">...would represent a welcome streamlining of tax administration…and…aid efficiency of </w:t>
      </w:r>
      <w:proofErr w:type="spellStart"/>
      <w:r w:rsidR="005724C9" w:rsidRPr="00701A48">
        <w:rPr>
          <w:bCs/>
          <w:lang w:eastAsia="en-GB"/>
        </w:rPr>
        <w:t>LBTT</w:t>
      </w:r>
      <w:proofErr w:type="spellEnd"/>
      <w:r w:rsidR="005724C9" w:rsidRPr="00701A48">
        <w:rPr>
          <w:bCs/>
          <w:lang w:eastAsia="en-GB"/>
        </w:rPr>
        <w:t xml:space="preserve">.  Alignment of </w:t>
      </w:r>
      <w:proofErr w:type="spellStart"/>
      <w:r w:rsidR="005724C9" w:rsidRPr="00701A48">
        <w:rPr>
          <w:bCs/>
          <w:lang w:eastAsia="en-GB"/>
        </w:rPr>
        <w:t>SDLT</w:t>
      </w:r>
      <w:proofErr w:type="spellEnd"/>
      <w:r w:rsidR="005724C9" w:rsidRPr="00701A48">
        <w:rPr>
          <w:bCs/>
          <w:lang w:eastAsia="en-GB"/>
        </w:rPr>
        <w:t xml:space="preserve"> and </w:t>
      </w:r>
      <w:proofErr w:type="spellStart"/>
      <w:r w:rsidR="005724C9" w:rsidRPr="00701A48">
        <w:rPr>
          <w:bCs/>
          <w:lang w:eastAsia="en-GB"/>
        </w:rPr>
        <w:t>LBTT</w:t>
      </w:r>
      <w:proofErr w:type="spellEnd"/>
      <w:r w:rsidR="005724C9" w:rsidRPr="00701A48">
        <w:rPr>
          <w:bCs/>
          <w:lang w:eastAsia="en-GB"/>
        </w:rPr>
        <w:t xml:space="preserve"> reliefs…would also provide simplicity and certainty for the taxpayer”.  </w:t>
      </w:r>
    </w:p>
    <w:p w14:paraId="3D1FE0E7" w14:textId="77777777" w:rsidR="005130CE" w:rsidRDefault="005130CE"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lang w:eastAsia="en-GB"/>
        </w:rPr>
      </w:pPr>
    </w:p>
    <w:p w14:paraId="67CC289C" w14:textId="77777777" w:rsidR="00D64F9F" w:rsidRPr="007B1560" w:rsidRDefault="00BF2D0F"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lang w:eastAsia="en-GB"/>
        </w:rPr>
      </w:pPr>
      <w:r w:rsidRPr="007B1560">
        <w:rPr>
          <w:bCs/>
          <w:lang w:eastAsia="en-GB"/>
        </w:rPr>
        <w:t xml:space="preserve">To further expand on this point HSBC </w:t>
      </w:r>
      <w:r w:rsidR="005130CE" w:rsidRPr="007B1560">
        <w:rPr>
          <w:bCs/>
          <w:lang w:eastAsia="en-GB"/>
        </w:rPr>
        <w:t>stated</w:t>
      </w:r>
      <w:r w:rsidR="00D64F9F" w:rsidRPr="007B1560">
        <w:rPr>
          <w:bCs/>
          <w:lang w:eastAsia="en-GB"/>
        </w:rPr>
        <w:t xml:space="preserve">, </w:t>
      </w:r>
    </w:p>
    <w:p w14:paraId="44658FFD" w14:textId="77777777" w:rsidR="00D64F9F" w:rsidRDefault="00D64F9F"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lang w:eastAsia="en-GB"/>
        </w:rPr>
      </w:pPr>
      <w:r>
        <w:rPr>
          <w:bCs/>
          <w:lang w:eastAsia="en-GB"/>
        </w:rPr>
        <w:tab/>
      </w:r>
    </w:p>
    <w:p w14:paraId="76CD70C0" w14:textId="2B92C164" w:rsidR="005130CE" w:rsidRDefault="00D64F9F"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i/>
          <w:lang w:eastAsia="en-GB"/>
        </w:rPr>
      </w:pPr>
      <w:r>
        <w:rPr>
          <w:bCs/>
          <w:lang w:eastAsia="en-GB"/>
        </w:rPr>
        <w:tab/>
      </w:r>
      <w:r w:rsidR="005130CE">
        <w:rPr>
          <w:bCs/>
          <w:lang w:eastAsia="en-GB"/>
        </w:rPr>
        <w:t xml:space="preserve"> </w:t>
      </w:r>
      <w:r w:rsidR="00BF2D0F">
        <w:rPr>
          <w:bCs/>
          <w:i/>
          <w:lang w:eastAsia="en-GB"/>
        </w:rPr>
        <w:t>“</w:t>
      </w:r>
      <w:r w:rsidR="00BF2D0F" w:rsidRPr="00701A48">
        <w:rPr>
          <w:bCs/>
          <w:lang w:eastAsia="en-GB"/>
        </w:rPr>
        <w:t>property funds are…pan UK.  Witho</w:t>
      </w:r>
      <w:r w:rsidR="004B0BF7" w:rsidRPr="00701A48">
        <w:rPr>
          <w:bCs/>
          <w:lang w:eastAsia="en-GB"/>
        </w:rPr>
        <w:t xml:space="preserve">ut parity between </w:t>
      </w:r>
      <w:proofErr w:type="spellStart"/>
      <w:r w:rsidR="004B0BF7" w:rsidRPr="00701A48">
        <w:rPr>
          <w:bCs/>
          <w:lang w:eastAsia="en-GB"/>
        </w:rPr>
        <w:t>LBTT</w:t>
      </w:r>
      <w:proofErr w:type="spellEnd"/>
      <w:r w:rsidR="004B0BF7" w:rsidRPr="00701A48">
        <w:rPr>
          <w:bCs/>
          <w:lang w:eastAsia="en-GB"/>
        </w:rPr>
        <w:t xml:space="preserve"> and SDL </w:t>
      </w:r>
      <w:r w:rsidR="00BF2D0F" w:rsidRPr="00701A48">
        <w:rPr>
          <w:bCs/>
          <w:lang w:eastAsia="en-GB"/>
        </w:rPr>
        <w:t xml:space="preserve">there is significant risk Scottish properties would be excluded from </w:t>
      </w:r>
      <w:proofErr w:type="spellStart"/>
      <w:r w:rsidR="00BF2D0F" w:rsidRPr="00701A48">
        <w:rPr>
          <w:bCs/>
          <w:lang w:eastAsia="en-GB"/>
        </w:rPr>
        <w:t>CoACS</w:t>
      </w:r>
      <w:proofErr w:type="spellEnd"/>
      <w:r w:rsidR="00BF2D0F" w:rsidRPr="00701A48">
        <w:rPr>
          <w:bCs/>
          <w:lang w:eastAsia="en-GB"/>
        </w:rPr>
        <w:t>”</w:t>
      </w:r>
      <w:r w:rsidR="00340A67" w:rsidRPr="00701A48">
        <w:rPr>
          <w:bCs/>
          <w:lang w:eastAsia="en-GB"/>
        </w:rPr>
        <w:t>.</w:t>
      </w:r>
      <w:r w:rsidR="00340A67">
        <w:rPr>
          <w:bCs/>
          <w:i/>
          <w:lang w:eastAsia="en-GB"/>
        </w:rPr>
        <w:t xml:space="preserve"> </w:t>
      </w:r>
    </w:p>
    <w:p w14:paraId="0951233D" w14:textId="77777777" w:rsidR="005130CE" w:rsidRDefault="005130CE"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i/>
          <w:lang w:eastAsia="en-GB"/>
        </w:rPr>
      </w:pPr>
    </w:p>
    <w:p w14:paraId="14CA8DDE" w14:textId="2BA14F7C" w:rsidR="005724C9" w:rsidRPr="007B1560" w:rsidRDefault="005130CE"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lang w:eastAsia="en-GB"/>
        </w:rPr>
      </w:pPr>
      <w:r w:rsidRPr="007B1560">
        <w:rPr>
          <w:bCs/>
          <w:lang w:eastAsia="en-GB"/>
        </w:rPr>
        <w:t xml:space="preserve">HSBC stated </w:t>
      </w:r>
      <w:r w:rsidR="00340A67" w:rsidRPr="007B1560">
        <w:rPr>
          <w:bCs/>
          <w:lang w:eastAsia="en-GB"/>
        </w:rPr>
        <w:t>that these funds are ‘pan UK’</w:t>
      </w:r>
      <w:r w:rsidRPr="007B1560">
        <w:rPr>
          <w:bCs/>
          <w:lang w:eastAsia="en-GB"/>
        </w:rPr>
        <w:t xml:space="preserve"> (</w:t>
      </w:r>
      <w:r w:rsidR="00340A67" w:rsidRPr="007B1560">
        <w:rPr>
          <w:bCs/>
          <w:lang w:eastAsia="en-GB"/>
        </w:rPr>
        <w:t>they contain assets across the UK</w:t>
      </w:r>
      <w:r w:rsidRPr="007B1560">
        <w:rPr>
          <w:bCs/>
          <w:lang w:eastAsia="en-GB"/>
        </w:rPr>
        <w:t>)</w:t>
      </w:r>
      <w:r w:rsidR="00340A67" w:rsidRPr="007B1560">
        <w:rPr>
          <w:bCs/>
          <w:lang w:eastAsia="en-GB"/>
        </w:rPr>
        <w:t xml:space="preserve">.  It follows that if the tax treatment across regimes in the UK is the same it would reduce the administration burden and </w:t>
      </w:r>
      <w:r w:rsidR="00140C16" w:rsidRPr="007B1560">
        <w:rPr>
          <w:bCs/>
          <w:lang w:eastAsia="en-GB"/>
        </w:rPr>
        <w:t>ease</w:t>
      </w:r>
      <w:r w:rsidR="00340A67" w:rsidRPr="007B1560">
        <w:rPr>
          <w:bCs/>
          <w:lang w:eastAsia="en-GB"/>
        </w:rPr>
        <w:t xml:space="preserve"> the operation of </w:t>
      </w:r>
      <w:r w:rsidR="003646DB" w:rsidRPr="007B1560">
        <w:rPr>
          <w:bCs/>
          <w:lang w:eastAsia="en-GB"/>
        </w:rPr>
        <w:t>these</w:t>
      </w:r>
      <w:r w:rsidR="00340A67" w:rsidRPr="007B1560">
        <w:rPr>
          <w:bCs/>
          <w:lang w:eastAsia="en-GB"/>
        </w:rPr>
        <w:t xml:space="preserve"> funds.    </w:t>
      </w:r>
      <w:r w:rsidR="00BF2D0F" w:rsidRPr="007B1560">
        <w:rPr>
          <w:bCs/>
          <w:lang w:eastAsia="en-GB"/>
        </w:rPr>
        <w:t xml:space="preserve"> </w:t>
      </w:r>
    </w:p>
    <w:p w14:paraId="39B13C24" w14:textId="77777777" w:rsidR="005724C9" w:rsidRDefault="005724C9" w:rsidP="004B0BF7">
      <w:pPr>
        <w:shd w:val="clear" w:color="auto" w:fill="FFFFFF"/>
        <w:tabs>
          <w:tab w:val="clear" w:pos="720"/>
          <w:tab w:val="clear" w:pos="1440"/>
          <w:tab w:val="clear" w:pos="2160"/>
          <w:tab w:val="clear" w:pos="2880"/>
          <w:tab w:val="clear" w:pos="4680"/>
          <w:tab w:val="clear" w:pos="5400"/>
          <w:tab w:val="clear" w:pos="9000"/>
        </w:tabs>
        <w:spacing w:line="240" w:lineRule="auto"/>
        <w:jc w:val="left"/>
        <w:rPr>
          <w:bCs/>
          <w:lang w:eastAsia="en-GB"/>
        </w:rPr>
      </w:pPr>
    </w:p>
    <w:p w14:paraId="0B7F1507" w14:textId="77777777" w:rsidR="005130CE" w:rsidRPr="007B1560" w:rsidRDefault="003646DB"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lang w:eastAsia="en-GB"/>
        </w:rPr>
      </w:pPr>
      <w:r w:rsidRPr="007B1560">
        <w:rPr>
          <w:bCs/>
          <w:lang w:eastAsia="en-GB"/>
        </w:rPr>
        <w:t>There was agreement that a</w:t>
      </w:r>
      <w:r w:rsidR="00AA1F50" w:rsidRPr="007B1560">
        <w:rPr>
          <w:bCs/>
          <w:lang w:eastAsia="en-GB"/>
        </w:rPr>
        <w:t>n exchanges relief</w:t>
      </w:r>
      <w:r w:rsidRPr="007B1560">
        <w:rPr>
          <w:bCs/>
          <w:lang w:eastAsia="en-GB"/>
        </w:rPr>
        <w:t xml:space="preserve"> would</w:t>
      </w:r>
      <w:r w:rsidR="00AA1F50" w:rsidRPr="007B1560">
        <w:rPr>
          <w:bCs/>
          <w:lang w:eastAsia="en-GB"/>
        </w:rPr>
        <w:t xml:space="preserve"> be beneficial to Scottish real estate</w:t>
      </w:r>
      <w:r w:rsidR="00140C16" w:rsidRPr="007B1560">
        <w:rPr>
          <w:bCs/>
          <w:lang w:eastAsia="en-GB"/>
        </w:rPr>
        <w:t xml:space="preserve">.  Responses </w:t>
      </w:r>
      <w:r w:rsidR="005130CE" w:rsidRPr="007B1560">
        <w:rPr>
          <w:bCs/>
          <w:lang w:eastAsia="en-GB"/>
        </w:rPr>
        <w:t xml:space="preserve">stated </w:t>
      </w:r>
      <w:r w:rsidR="00140C16" w:rsidRPr="007B1560">
        <w:rPr>
          <w:bCs/>
          <w:lang w:eastAsia="en-GB"/>
        </w:rPr>
        <w:t xml:space="preserve">that </w:t>
      </w:r>
      <w:r w:rsidR="00AA1F50" w:rsidRPr="007B1560">
        <w:rPr>
          <w:bCs/>
          <w:lang w:eastAsia="en-GB"/>
        </w:rPr>
        <w:t xml:space="preserve">properties in Scotland </w:t>
      </w:r>
      <w:r w:rsidR="000C6680" w:rsidRPr="007B1560">
        <w:rPr>
          <w:bCs/>
          <w:lang w:eastAsia="en-GB"/>
        </w:rPr>
        <w:t>would no longer</w:t>
      </w:r>
      <w:r w:rsidR="00AA1F50" w:rsidRPr="007B1560">
        <w:rPr>
          <w:bCs/>
          <w:lang w:eastAsia="en-GB"/>
        </w:rPr>
        <w:t xml:space="preserve"> be considered undesirable assets</w:t>
      </w:r>
      <w:r w:rsidR="000C6680" w:rsidRPr="007B1560">
        <w:rPr>
          <w:bCs/>
          <w:lang w:eastAsia="en-GB"/>
        </w:rPr>
        <w:t>,</w:t>
      </w:r>
      <w:r w:rsidR="00AA1F50" w:rsidRPr="007B1560">
        <w:rPr>
          <w:bCs/>
          <w:lang w:eastAsia="en-GB"/>
        </w:rPr>
        <w:t xml:space="preserve"> seen to decrease the liquidity of funds</w:t>
      </w:r>
      <w:r w:rsidR="00140C16" w:rsidRPr="007B1560">
        <w:rPr>
          <w:bCs/>
          <w:lang w:eastAsia="en-GB"/>
        </w:rPr>
        <w:t xml:space="preserve">, inferring the absence of relief </w:t>
      </w:r>
      <w:r w:rsidRPr="007B1560">
        <w:rPr>
          <w:bCs/>
          <w:lang w:eastAsia="en-GB"/>
        </w:rPr>
        <w:t xml:space="preserve">(currently) </w:t>
      </w:r>
      <w:r w:rsidR="00140C16" w:rsidRPr="007B1560">
        <w:rPr>
          <w:bCs/>
          <w:lang w:eastAsia="en-GB"/>
        </w:rPr>
        <w:t xml:space="preserve">reduces the investment potential </w:t>
      </w:r>
      <w:r w:rsidR="00052EC2" w:rsidRPr="007B1560">
        <w:rPr>
          <w:bCs/>
          <w:lang w:eastAsia="en-GB"/>
        </w:rPr>
        <w:t>in</w:t>
      </w:r>
      <w:r w:rsidR="00140C16" w:rsidRPr="007B1560">
        <w:rPr>
          <w:bCs/>
          <w:lang w:eastAsia="en-GB"/>
        </w:rPr>
        <w:t xml:space="preserve"> Scott</w:t>
      </w:r>
      <w:r w:rsidR="00052EC2" w:rsidRPr="007B1560">
        <w:rPr>
          <w:bCs/>
          <w:lang w:eastAsia="en-GB"/>
        </w:rPr>
        <w:t>ish property</w:t>
      </w:r>
      <w:r w:rsidR="00A1078D" w:rsidRPr="007B1560">
        <w:rPr>
          <w:bCs/>
          <w:lang w:eastAsia="en-GB"/>
        </w:rPr>
        <w:t xml:space="preserve">.  </w:t>
      </w:r>
      <w:r w:rsidR="005724C9" w:rsidRPr="007B1560">
        <w:rPr>
          <w:bCs/>
          <w:lang w:eastAsia="en-GB"/>
        </w:rPr>
        <w:t>The liquidity argument was presented as problematic by KPMG who explained</w:t>
      </w:r>
      <w:r w:rsidR="005130CE" w:rsidRPr="007B1560">
        <w:rPr>
          <w:bCs/>
          <w:lang w:eastAsia="en-GB"/>
        </w:rPr>
        <w:t xml:space="preserve">, </w:t>
      </w:r>
    </w:p>
    <w:p w14:paraId="2C8C1B5B" w14:textId="77777777" w:rsidR="005130CE" w:rsidRDefault="005130CE"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lang w:eastAsia="en-GB"/>
        </w:rPr>
      </w:pPr>
    </w:p>
    <w:p w14:paraId="3966EBAF" w14:textId="2C0BCAD7" w:rsidR="005130CE" w:rsidRDefault="00D64F9F"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i/>
          <w:lang w:eastAsia="en-GB"/>
        </w:rPr>
      </w:pPr>
      <w:r>
        <w:rPr>
          <w:bCs/>
          <w:lang w:eastAsia="en-GB"/>
        </w:rPr>
        <w:tab/>
      </w:r>
      <w:r w:rsidR="005724C9">
        <w:rPr>
          <w:bCs/>
          <w:lang w:eastAsia="en-GB"/>
        </w:rPr>
        <w:t xml:space="preserve"> </w:t>
      </w:r>
      <w:r w:rsidR="005130CE">
        <w:rPr>
          <w:bCs/>
          <w:i/>
          <w:lang w:eastAsia="en-GB"/>
        </w:rPr>
        <w:t>“</w:t>
      </w:r>
      <w:r w:rsidR="005724C9">
        <w:rPr>
          <w:bCs/>
          <w:i/>
          <w:lang w:eastAsia="en-GB"/>
        </w:rPr>
        <w:t xml:space="preserve">where there is a change in unit holding…the strict legal position may be…a technical need to account for very small amounts of </w:t>
      </w:r>
      <w:proofErr w:type="spellStart"/>
      <w:r w:rsidR="005724C9">
        <w:rPr>
          <w:bCs/>
          <w:i/>
          <w:lang w:eastAsia="en-GB"/>
        </w:rPr>
        <w:t>LBTT</w:t>
      </w:r>
      <w:proofErr w:type="spellEnd"/>
      <w:r w:rsidR="005724C9">
        <w:rPr>
          <w:bCs/>
          <w:i/>
          <w:lang w:eastAsia="en-GB"/>
        </w:rPr>
        <w:t xml:space="preserve">”. </w:t>
      </w:r>
    </w:p>
    <w:p w14:paraId="3F6415F5" w14:textId="77777777" w:rsidR="005130CE" w:rsidRDefault="005130CE"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bCs/>
          <w:i/>
          <w:lang w:eastAsia="en-GB"/>
        </w:rPr>
      </w:pPr>
    </w:p>
    <w:p w14:paraId="5F5CF749" w14:textId="04325B8B" w:rsidR="00BF2D0F" w:rsidRPr="007B1560" w:rsidRDefault="005724C9"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i/>
          <w:lang w:eastAsia="en-GB"/>
        </w:rPr>
      </w:pPr>
      <w:r w:rsidRPr="007B1560">
        <w:rPr>
          <w:bCs/>
          <w:lang w:eastAsia="en-GB"/>
        </w:rPr>
        <w:lastRenderedPageBreak/>
        <w:t xml:space="preserve">In other words where there is a change in units within a fund an </w:t>
      </w:r>
      <w:proofErr w:type="spellStart"/>
      <w:r w:rsidRPr="007B1560">
        <w:rPr>
          <w:bCs/>
          <w:lang w:eastAsia="en-GB"/>
        </w:rPr>
        <w:t>LBTT</w:t>
      </w:r>
      <w:proofErr w:type="spellEnd"/>
      <w:r w:rsidRPr="007B1560">
        <w:rPr>
          <w:bCs/>
          <w:lang w:eastAsia="en-GB"/>
        </w:rPr>
        <w:t xml:space="preserve"> return would be requi</w:t>
      </w:r>
      <w:r w:rsidR="000C6680" w:rsidRPr="007B1560">
        <w:rPr>
          <w:bCs/>
          <w:lang w:eastAsia="en-GB"/>
        </w:rPr>
        <w:t>red by every unit holder for each</w:t>
      </w:r>
      <w:r w:rsidRPr="007B1560">
        <w:rPr>
          <w:bCs/>
          <w:lang w:eastAsia="en-GB"/>
        </w:rPr>
        <w:t xml:space="preserve"> Scottish </w:t>
      </w:r>
      <w:r w:rsidR="000C6680" w:rsidRPr="007B1560">
        <w:rPr>
          <w:bCs/>
          <w:lang w:eastAsia="en-GB"/>
        </w:rPr>
        <w:t>property</w:t>
      </w:r>
      <w:r w:rsidRPr="007B1560">
        <w:rPr>
          <w:bCs/>
          <w:lang w:eastAsia="en-GB"/>
        </w:rPr>
        <w:t xml:space="preserve"> within the fund, a significant </w:t>
      </w:r>
      <w:r w:rsidR="000C6680" w:rsidRPr="007B1560">
        <w:rPr>
          <w:bCs/>
          <w:lang w:eastAsia="en-GB"/>
        </w:rPr>
        <w:t xml:space="preserve">and potentially complex </w:t>
      </w:r>
      <w:r w:rsidRPr="007B1560">
        <w:rPr>
          <w:bCs/>
          <w:lang w:eastAsia="en-GB"/>
        </w:rPr>
        <w:t>administrati</w:t>
      </w:r>
      <w:r w:rsidR="005130CE" w:rsidRPr="007B1560">
        <w:rPr>
          <w:bCs/>
          <w:lang w:eastAsia="en-GB"/>
        </w:rPr>
        <w:t>ve</w:t>
      </w:r>
      <w:r w:rsidRPr="007B1560">
        <w:rPr>
          <w:bCs/>
          <w:lang w:eastAsia="en-GB"/>
        </w:rPr>
        <w:t xml:space="preserve"> burden</w:t>
      </w:r>
      <w:r w:rsidR="00BF2D0F" w:rsidRPr="007B1560">
        <w:rPr>
          <w:bCs/>
          <w:lang w:eastAsia="en-GB"/>
        </w:rPr>
        <w:t xml:space="preserve">. </w:t>
      </w:r>
      <w:r w:rsidR="00C378E2" w:rsidRPr="007B1560">
        <w:rPr>
          <w:bCs/>
          <w:lang w:eastAsia="en-GB"/>
        </w:rPr>
        <w:t xml:space="preserve">Eversheds expanded on this in detail explaining that the exchange of units in funds needs to be ‘opaque’ for </w:t>
      </w:r>
      <w:proofErr w:type="spellStart"/>
      <w:r w:rsidR="00052EC2" w:rsidRPr="007B1560">
        <w:rPr>
          <w:bCs/>
          <w:lang w:eastAsia="en-GB"/>
        </w:rPr>
        <w:t>LBTT</w:t>
      </w:r>
      <w:proofErr w:type="spellEnd"/>
      <w:r w:rsidR="00052EC2" w:rsidRPr="007B1560">
        <w:rPr>
          <w:bCs/>
          <w:lang w:eastAsia="en-GB"/>
        </w:rPr>
        <w:t xml:space="preserve"> </w:t>
      </w:r>
      <w:r w:rsidR="00C378E2" w:rsidRPr="007B1560">
        <w:rPr>
          <w:bCs/>
          <w:lang w:eastAsia="en-GB"/>
        </w:rPr>
        <w:t>purposes</w:t>
      </w:r>
      <w:r w:rsidR="00052EC2" w:rsidRPr="007B1560">
        <w:rPr>
          <w:bCs/>
          <w:lang w:eastAsia="en-GB"/>
        </w:rPr>
        <w:t>.</w:t>
      </w:r>
      <w:r w:rsidR="00C378E2" w:rsidRPr="007B1560">
        <w:rPr>
          <w:bCs/>
          <w:lang w:eastAsia="en-GB"/>
        </w:rPr>
        <w:t xml:space="preserve">  </w:t>
      </w:r>
    </w:p>
    <w:p w14:paraId="5B287861" w14:textId="77777777" w:rsidR="005130CE" w:rsidRDefault="005130CE" w:rsidP="004B0BF7">
      <w:pPr>
        <w:tabs>
          <w:tab w:val="clear" w:pos="720"/>
          <w:tab w:val="clear" w:pos="1440"/>
          <w:tab w:val="clear" w:pos="2160"/>
          <w:tab w:val="clear" w:pos="2880"/>
          <w:tab w:val="clear" w:pos="4680"/>
          <w:tab w:val="clear" w:pos="5400"/>
          <w:tab w:val="clear" w:pos="9000"/>
        </w:tabs>
        <w:spacing w:line="240" w:lineRule="auto"/>
        <w:jc w:val="left"/>
        <w:rPr>
          <w:bCs/>
          <w:lang w:eastAsia="en-GB"/>
        </w:rPr>
      </w:pPr>
    </w:p>
    <w:p w14:paraId="07A0FA11" w14:textId="5CC7C3CD" w:rsidR="005919B6" w:rsidRPr="007B1560" w:rsidRDefault="00052EC2" w:rsidP="004B0BF7">
      <w:pPr>
        <w:pStyle w:val="ListParagraph"/>
        <w:numPr>
          <w:ilvl w:val="0"/>
          <w:numId w:val="19"/>
        </w:numPr>
        <w:tabs>
          <w:tab w:val="clear" w:pos="720"/>
          <w:tab w:val="clear" w:pos="1440"/>
          <w:tab w:val="clear" w:pos="2160"/>
          <w:tab w:val="clear" w:pos="2880"/>
          <w:tab w:val="clear" w:pos="4680"/>
          <w:tab w:val="clear" w:pos="5400"/>
          <w:tab w:val="clear" w:pos="9000"/>
        </w:tabs>
        <w:spacing w:line="240" w:lineRule="auto"/>
        <w:ind w:left="0" w:firstLine="0"/>
        <w:jc w:val="left"/>
        <w:rPr>
          <w:bCs/>
          <w:i/>
          <w:lang w:eastAsia="en-GB"/>
        </w:rPr>
      </w:pPr>
      <w:r w:rsidRPr="007B1560">
        <w:rPr>
          <w:bCs/>
          <w:lang w:eastAsia="en-GB"/>
        </w:rPr>
        <w:t>Respondents to</w:t>
      </w:r>
      <w:r w:rsidR="00140C16" w:rsidRPr="007B1560">
        <w:rPr>
          <w:bCs/>
          <w:lang w:eastAsia="en-GB"/>
        </w:rPr>
        <w:t xml:space="preserve"> chapter four were asked their opinion on what the consequences of a ‘do nothing approach’ by the Sco</w:t>
      </w:r>
      <w:r w:rsidR="003646DB" w:rsidRPr="007B1560">
        <w:rPr>
          <w:bCs/>
          <w:lang w:eastAsia="en-GB"/>
        </w:rPr>
        <w:t xml:space="preserve">ttish government could have.  Again similar to contributions on </w:t>
      </w:r>
      <w:r w:rsidR="00140C16" w:rsidRPr="007B1560">
        <w:rPr>
          <w:bCs/>
          <w:lang w:eastAsia="en-GB"/>
        </w:rPr>
        <w:t>a ‘Seeding relief’ there was general agreement that such an approach would be detrimental to Scotland and Scottish real estate.</w:t>
      </w:r>
      <w:r w:rsidR="003646DB" w:rsidRPr="007B1560">
        <w:rPr>
          <w:bCs/>
          <w:lang w:eastAsia="en-GB"/>
        </w:rPr>
        <w:t xml:space="preserve">  While there were replies to this question by every respondent only a few provided detail of the consequences of ‘do nothing’.  The consensus being that a do nothing approach would encourage professional advisors to the industry to advise </w:t>
      </w:r>
      <w:r w:rsidR="005130CE" w:rsidRPr="007B1560">
        <w:rPr>
          <w:bCs/>
          <w:lang w:eastAsia="en-GB"/>
        </w:rPr>
        <w:t xml:space="preserve">against </w:t>
      </w:r>
      <w:r w:rsidR="003646DB" w:rsidRPr="007B1560">
        <w:rPr>
          <w:bCs/>
          <w:lang w:eastAsia="en-GB"/>
        </w:rPr>
        <w:t>clients invest</w:t>
      </w:r>
      <w:r w:rsidR="005130CE" w:rsidRPr="007B1560">
        <w:rPr>
          <w:bCs/>
          <w:lang w:eastAsia="en-GB"/>
        </w:rPr>
        <w:t>ing</w:t>
      </w:r>
      <w:r w:rsidR="003646DB" w:rsidRPr="007B1560">
        <w:rPr>
          <w:bCs/>
          <w:lang w:eastAsia="en-GB"/>
        </w:rPr>
        <w:t xml:space="preserve"> in Scottish property.  Whereas respondents </w:t>
      </w:r>
      <w:r w:rsidR="005919B6" w:rsidRPr="007B1560">
        <w:rPr>
          <w:bCs/>
          <w:lang w:eastAsia="en-GB"/>
        </w:rPr>
        <w:t>from fund operators explained</w:t>
      </w:r>
      <w:r w:rsidR="007B1560" w:rsidRPr="007B1560">
        <w:rPr>
          <w:bCs/>
          <w:lang w:eastAsia="en-GB"/>
        </w:rPr>
        <w:t xml:space="preserve"> that</w:t>
      </w:r>
      <w:r w:rsidR="005130CE" w:rsidRPr="007B1560">
        <w:rPr>
          <w:bCs/>
          <w:lang w:eastAsia="en-GB"/>
        </w:rPr>
        <w:t>,</w:t>
      </w:r>
      <w:r w:rsidR="007B1560" w:rsidRPr="007B1560">
        <w:rPr>
          <w:bCs/>
          <w:lang w:eastAsia="en-GB"/>
        </w:rPr>
        <w:t xml:space="preserve"> </w:t>
      </w:r>
      <w:r w:rsidR="005919B6" w:rsidRPr="007B1560">
        <w:rPr>
          <w:bCs/>
          <w:i/>
          <w:lang w:eastAsia="en-GB"/>
        </w:rPr>
        <w:t>“</w:t>
      </w:r>
      <w:r w:rsidR="005919B6" w:rsidRPr="007B1560">
        <w:rPr>
          <w:bCs/>
          <w:lang w:eastAsia="en-GB"/>
        </w:rPr>
        <w:t xml:space="preserve">It is unlikely that Scottish properties would be held in or seeded into </w:t>
      </w:r>
      <w:proofErr w:type="spellStart"/>
      <w:r w:rsidR="005919B6" w:rsidRPr="007B1560">
        <w:rPr>
          <w:bCs/>
          <w:lang w:eastAsia="en-GB"/>
        </w:rPr>
        <w:t>CoACS</w:t>
      </w:r>
      <w:proofErr w:type="spellEnd"/>
      <w:r w:rsidR="005919B6" w:rsidRPr="007B1560">
        <w:rPr>
          <w:bCs/>
          <w:i/>
          <w:lang w:eastAsia="en-GB"/>
        </w:rPr>
        <w:t>”.</w:t>
      </w:r>
    </w:p>
    <w:p w14:paraId="6F9F0699" w14:textId="77777777" w:rsidR="005919B6" w:rsidRDefault="005919B6" w:rsidP="004B0BF7">
      <w:pPr>
        <w:shd w:val="clear" w:color="auto" w:fill="FFFFFF"/>
        <w:tabs>
          <w:tab w:val="clear" w:pos="720"/>
          <w:tab w:val="clear" w:pos="1440"/>
          <w:tab w:val="clear" w:pos="2160"/>
          <w:tab w:val="clear" w:pos="2880"/>
          <w:tab w:val="clear" w:pos="4680"/>
          <w:tab w:val="clear" w:pos="5400"/>
          <w:tab w:val="clear" w:pos="9000"/>
        </w:tabs>
        <w:spacing w:line="240" w:lineRule="auto"/>
        <w:jc w:val="left"/>
        <w:rPr>
          <w:bCs/>
          <w:i/>
          <w:lang w:eastAsia="en-GB"/>
        </w:rPr>
      </w:pPr>
    </w:p>
    <w:p w14:paraId="47363F08" w14:textId="26C1E6FB" w:rsidR="00C753F1" w:rsidRPr="007B1560" w:rsidRDefault="005919B6" w:rsidP="004B0BF7">
      <w:pPr>
        <w:pStyle w:val="ListParagraph"/>
        <w:numPr>
          <w:ilvl w:val="0"/>
          <w:numId w:val="19"/>
        </w:numPr>
        <w:shd w:val="clear" w:color="auto" w:fill="FFFFFF"/>
        <w:tabs>
          <w:tab w:val="clear" w:pos="720"/>
          <w:tab w:val="clear" w:pos="1440"/>
          <w:tab w:val="clear" w:pos="2160"/>
          <w:tab w:val="clear" w:pos="2880"/>
          <w:tab w:val="clear" w:pos="4680"/>
          <w:tab w:val="clear" w:pos="5400"/>
          <w:tab w:val="clear" w:pos="9000"/>
        </w:tabs>
        <w:spacing w:line="240" w:lineRule="auto"/>
        <w:ind w:left="0" w:firstLine="0"/>
        <w:jc w:val="left"/>
        <w:rPr>
          <w:bCs/>
          <w:lang w:eastAsia="en-GB"/>
        </w:rPr>
      </w:pPr>
      <w:r w:rsidRPr="007B1560">
        <w:rPr>
          <w:bCs/>
          <w:lang w:eastAsia="en-GB"/>
        </w:rPr>
        <w:t xml:space="preserve">In summary there was unanimous support for a relief from </w:t>
      </w:r>
      <w:proofErr w:type="spellStart"/>
      <w:r w:rsidRPr="007B1560">
        <w:rPr>
          <w:bCs/>
          <w:lang w:eastAsia="en-GB"/>
        </w:rPr>
        <w:t>LBTT</w:t>
      </w:r>
      <w:proofErr w:type="spellEnd"/>
      <w:r w:rsidRPr="007B1560">
        <w:rPr>
          <w:bCs/>
          <w:lang w:eastAsia="en-GB"/>
        </w:rPr>
        <w:t xml:space="preserve"> for the exchange of units within </w:t>
      </w:r>
      <w:proofErr w:type="spellStart"/>
      <w:r w:rsidRPr="007B1560">
        <w:rPr>
          <w:bCs/>
          <w:lang w:eastAsia="en-GB"/>
        </w:rPr>
        <w:t>CoACS</w:t>
      </w:r>
      <w:proofErr w:type="spellEnd"/>
      <w:r w:rsidRPr="007B1560">
        <w:rPr>
          <w:bCs/>
          <w:lang w:eastAsia="en-GB"/>
        </w:rPr>
        <w:t xml:space="preserve"> funds.  A do nothing approach by the Scottish Government </w:t>
      </w:r>
      <w:r w:rsidR="005130CE" w:rsidRPr="007B1560">
        <w:rPr>
          <w:bCs/>
          <w:lang w:eastAsia="en-GB"/>
        </w:rPr>
        <w:t xml:space="preserve">was </w:t>
      </w:r>
      <w:r w:rsidR="00737BBD" w:rsidRPr="007B1560">
        <w:rPr>
          <w:bCs/>
          <w:lang w:eastAsia="en-GB"/>
        </w:rPr>
        <w:t xml:space="preserve">viewed </w:t>
      </w:r>
      <w:r w:rsidR="005130CE" w:rsidRPr="007B1560">
        <w:rPr>
          <w:bCs/>
          <w:lang w:eastAsia="en-GB"/>
        </w:rPr>
        <w:t xml:space="preserve">as being </w:t>
      </w:r>
      <w:r w:rsidRPr="007B1560">
        <w:rPr>
          <w:bCs/>
          <w:lang w:eastAsia="en-GB"/>
        </w:rPr>
        <w:t>detrimental to investment in Scottish real estate.  The benefits of relief would be</w:t>
      </w:r>
      <w:r w:rsidR="00737BBD" w:rsidRPr="007B1560">
        <w:rPr>
          <w:bCs/>
          <w:lang w:eastAsia="en-GB"/>
        </w:rPr>
        <w:t xml:space="preserve"> the</w:t>
      </w:r>
      <w:r w:rsidRPr="007B1560">
        <w:rPr>
          <w:bCs/>
          <w:lang w:eastAsia="en-GB"/>
        </w:rPr>
        <w:t xml:space="preserve"> streamlining of the tax treatment of property assets in </w:t>
      </w:r>
      <w:proofErr w:type="spellStart"/>
      <w:r w:rsidRPr="007B1560">
        <w:rPr>
          <w:bCs/>
          <w:lang w:eastAsia="en-GB"/>
        </w:rPr>
        <w:t>CoACS</w:t>
      </w:r>
      <w:proofErr w:type="spellEnd"/>
      <w:r w:rsidRPr="007B1560">
        <w:rPr>
          <w:bCs/>
          <w:lang w:eastAsia="en-GB"/>
        </w:rPr>
        <w:t xml:space="preserve"> funds across the UK, reducing administration for operators and reducing tax complexity for tax payers.  </w:t>
      </w:r>
    </w:p>
    <w:p w14:paraId="071CF512" w14:textId="77777777" w:rsidR="00E53D45" w:rsidRDefault="00E53D45"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b/>
          <w:caps/>
          <w:sz w:val="28"/>
          <w:szCs w:val="28"/>
          <w:highlight w:val="yellow"/>
        </w:rPr>
      </w:pPr>
    </w:p>
    <w:p w14:paraId="553D394B" w14:textId="77777777" w:rsidR="00EA6573" w:rsidRDefault="00EA6573">
      <w:pPr>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b/>
          <w:caps/>
          <w:sz w:val="28"/>
          <w:szCs w:val="28"/>
        </w:rPr>
      </w:pPr>
      <w:r>
        <w:rPr>
          <w:rFonts w:ascii="Arial Bold" w:hAnsi="Arial Bold" w:cs="Arial"/>
          <w:b/>
          <w:caps/>
          <w:sz w:val="28"/>
          <w:szCs w:val="28"/>
        </w:rPr>
        <w:br w:type="page"/>
      </w:r>
    </w:p>
    <w:p w14:paraId="29659DE8" w14:textId="34023F25" w:rsidR="008811E6" w:rsidRPr="00EA6573" w:rsidRDefault="00155A99"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b/>
          <w:bCs/>
          <w:caps/>
          <w:sz w:val="28"/>
          <w:szCs w:val="28"/>
          <w:lang w:eastAsia="en-GB"/>
        </w:rPr>
      </w:pPr>
      <w:r w:rsidRPr="00EA6573">
        <w:rPr>
          <w:rFonts w:ascii="Arial Bold" w:hAnsi="Arial Bold" w:cs="Arial"/>
          <w:b/>
          <w:caps/>
          <w:sz w:val="28"/>
          <w:szCs w:val="28"/>
        </w:rPr>
        <w:lastRenderedPageBreak/>
        <w:t>tax avoidance</w:t>
      </w:r>
    </w:p>
    <w:p w14:paraId="3A679B0F" w14:textId="2D245866" w:rsidR="002D3C3F" w:rsidRDefault="002D3C3F" w:rsidP="00E208EF">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highlight w:val="yellow"/>
          <w:lang w:eastAsia="en-GB"/>
        </w:rPr>
      </w:pPr>
    </w:p>
    <w:p w14:paraId="54CC8A56" w14:textId="5D197687" w:rsidR="004B0BF7" w:rsidRDefault="006878D5"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color w:val="000000" w:themeColor="text1"/>
          <w:szCs w:val="24"/>
          <w:lang w:val="en" w:eastAsia="en-GB"/>
        </w:rPr>
      </w:pPr>
      <w:r w:rsidRPr="006878D5">
        <w:t xml:space="preserve">The potential for avoidance around these </w:t>
      </w:r>
      <w:r>
        <w:t xml:space="preserve">reliefs </w:t>
      </w:r>
      <w:r w:rsidRPr="006878D5">
        <w:t xml:space="preserve">is complex, presents a real risk to revenue and needs to be considered carefully. The Scottish Government </w:t>
      </w:r>
      <w:r>
        <w:t xml:space="preserve">is also aware that current UK </w:t>
      </w:r>
      <w:proofErr w:type="spellStart"/>
      <w:r>
        <w:t>SDLT</w:t>
      </w:r>
      <w:proofErr w:type="spellEnd"/>
      <w:r>
        <w:t xml:space="preserve"> anti-avoidance arrangements have</w:t>
      </w:r>
      <w:r w:rsidR="00F94194">
        <w:t xml:space="preserve"> prevented many fund </w:t>
      </w:r>
      <w:r w:rsidR="00D163AE">
        <w:t xml:space="preserve">conversions or seeding </w:t>
      </w:r>
      <w:r w:rsidR="00F94194">
        <w:t xml:space="preserve">taking place and limited opportunities for investors to take advantage of the new investment vehicles. </w:t>
      </w:r>
      <w:r>
        <w:t xml:space="preserve"> </w:t>
      </w:r>
      <w:r w:rsidR="00F94194" w:rsidRPr="00F94194">
        <w:rPr>
          <w:rFonts w:cs="Arial"/>
          <w:color w:val="000000" w:themeColor="text1"/>
          <w:szCs w:val="24"/>
          <w:lang w:val="en" w:eastAsia="en-GB"/>
        </w:rPr>
        <w:t xml:space="preserve">The majority of stakeholders stressed their wish that whilst the Scottish Government should provide parity by way of these reliefs, any </w:t>
      </w:r>
      <w:proofErr w:type="spellStart"/>
      <w:r w:rsidR="00D163AE" w:rsidRPr="00F94194">
        <w:rPr>
          <w:rFonts w:cs="Arial"/>
          <w:color w:val="000000" w:themeColor="text1"/>
          <w:szCs w:val="24"/>
          <w:lang w:val="en" w:eastAsia="en-GB"/>
        </w:rPr>
        <w:t>LBTT</w:t>
      </w:r>
      <w:proofErr w:type="spellEnd"/>
      <w:r w:rsidR="00D163AE" w:rsidRPr="00F94194">
        <w:rPr>
          <w:rFonts w:cs="Arial"/>
          <w:color w:val="000000" w:themeColor="text1"/>
          <w:szCs w:val="24"/>
          <w:lang w:val="en" w:eastAsia="en-GB"/>
        </w:rPr>
        <w:t xml:space="preserve"> </w:t>
      </w:r>
      <w:r w:rsidR="00F94194" w:rsidRPr="00F94194">
        <w:rPr>
          <w:rFonts w:cs="Arial"/>
          <w:color w:val="000000" w:themeColor="text1"/>
          <w:szCs w:val="24"/>
          <w:lang w:val="en" w:eastAsia="en-GB"/>
        </w:rPr>
        <w:t xml:space="preserve">seeding relief should not copy the </w:t>
      </w:r>
      <w:proofErr w:type="spellStart"/>
      <w:r w:rsidR="00F94194" w:rsidRPr="00F94194">
        <w:rPr>
          <w:rFonts w:cs="Arial"/>
          <w:color w:val="000000" w:themeColor="text1"/>
          <w:szCs w:val="24"/>
          <w:lang w:val="en" w:eastAsia="en-GB"/>
        </w:rPr>
        <w:t>SDLT</w:t>
      </w:r>
      <w:proofErr w:type="spellEnd"/>
      <w:r w:rsidR="00F94194" w:rsidRPr="00F94194">
        <w:rPr>
          <w:rFonts w:cs="Arial"/>
          <w:color w:val="000000" w:themeColor="text1"/>
          <w:szCs w:val="24"/>
          <w:lang w:val="en" w:eastAsia="en-GB"/>
        </w:rPr>
        <w:t xml:space="preserve"> claw back provisions exactly. </w:t>
      </w:r>
    </w:p>
    <w:p w14:paraId="29E59C94" w14:textId="6D579A6F" w:rsidR="00F94194" w:rsidRPr="00F94194" w:rsidRDefault="00F94194" w:rsidP="004B0BF7">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r w:rsidRPr="00F94194">
        <w:rPr>
          <w:rFonts w:cs="Arial"/>
          <w:color w:val="000000" w:themeColor="text1"/>
          <w:szCs w:val="24"/>
          <w:lang w:val="en" w:eastAsia="en-GB"/>
        </w:rPr>
        <w:t xml:space="preserve"> </w:t>
      </w:r>
    </w:p>
    <w:p w14:paraId="23F13064" w14:textId="1CF306D3" w:rsidR="00D64F9F" w:rsidRDefault="00052EC2"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pPr>
      <w:r>
        <w:t xml:space="preserve">Ernest and Young’s comments cover the substance of several other responses, in their reply they </w:t>
      </w:r>
      <w:r w:rsidR="00D64F9F">
        <w:t xml:space="preserve">state, </w:t>
      </w:r>
    </w:p>
    <w:p w14:paraId="16362174" w14:textId="776D007B" w:rsidR="00D64F9F" w:rsidRDefault="00D64F9F" w:rsidP="00E208EF">
      <w:pPr>
        <w:tabs>
          <w:tab w:val="clear" w:pos="720"/>
          <w:tab w:val="clear" w:pos="1440"/>
          <w:tab w:val="clear" w:pos="2160"/>
          <w:tab w:val="clear" w:pos="2880"/>
          <w:tab w:val="clear" w:pos="4680"/>
          <w:tab w:val="clear" w:pos="5400"/>
          <w:tab w:val="clear" w:pos="9000"/>
        </w:tabs>
        <w:spacing w:after="200" w:line="315" w:lineRule="atLeast"/>
        <w:jc w:val="left"/>
        <w:textAlignment w:val="top"/>
      </w:pPr>
      <w:r>
        <w:tab/>
      </w:r>
      <w:r w:rsidR="00052EC2" w:rsidRPr="002A73DE">
        <w:rPr>
          <w:i/>
        </w:rPr>
        <w:t>“</w:t>
      </w:r>
      <w:r w:rsidR="00052EC2" w:rsidRPr="00EA6573">
        <w:t xml:space="preserve">Consideration should be given…to ensure…the relief cannot be abused without adopting the claw back measures…in </w:t>
      </w:r>
      <w:proofErr w:type="spellStart"/>
      <w:r w:rsidR="00052EC2" w:rsidRPr="00EA6573">
        <w:t>SDLT</w:t>
      </w:r>
      <w:proofErr w:type="spellEnd"/>
      <w:r w:rsidR="00A20AC9">
        <w:rPr>
          <w:i/>
        </w:rPr>
        <w:t xml:space="preserve">” </w:t>
      </w:r>
      <w:r w:rsidR="00A20AC9" w:rsidRPr="00A20AC9">
        <w:t>a</w:t>
      </w:r>
      <w:r w:rsidRPr="00A20AC9">
        <w:t>nd</w:t>
      </w:r>
      <w:r w:rsidR="00414C16" w:rsidRPr="00A20AC9">
        <w:t xml:space="preserve"> that</w:t>
      </w:r>
      <w:r w:rsidR="00A20AC9">
        <w:t>,</w:t>
      </w:r>
      <w:r>
        <w:t xml:space="preserve"> </w:t>
      </w:r>
    </w:p>
    <w:p w14:paraId="41F45CE0" w14:textId="5DD33504" w:rsidR="00D64F9F" w:rsidRPr="00EA6573" w:rsidRDefault="00D64F9F" w:rsidP="00EA6573">
      <w:pPr>
        <w:tabs>
          <w:tab w:val="clear" w:pos="720"/>
          <w:tab w:val="clear" w:pos="1440"/>
          <w:tab w:val="clear" w:pos="2160"/>
          <w:tab w:val="clear" w:pos="2880"/>
          <w:tab w:val="clear" w:pos="4680"/>
          <w:tab w:val="clear" w:pos="5400"/>
          <w:tab w:val="clear" w:pos="9000"/>
        </w:tabs>
        <w:spacing w:after="200" w:line="315" w:lineRule="atLeast"/>
        <w:jc w:val="left"/>
        <w:textAlignment w:val="top"/>
      </w:pPr>
      <w:r w:rsidRPr="00EA6573">
        <w:tab/>
      </w:r>
      <w:r w:rsidR="00052EC2" w:rsidRPr="00EA6573">
        <w:t xml:space="preserve"> “Consideration should be given to providing alternative safeguards to abuse…we note </w:t>
      </w:r>
      <w:proofErr w:type="spellStart"/>
      <w:r w:rsidR="00052EC2" w:rsidRPr="00EA6573">
        <w:t>PAIF’s</w:t>
      </w:r>
      <w:proofErr w:type="spellEnd"/>
      <w:r w:rsidR="00052EC2" w:rsidRPr="00EA6573">
        <w:t xml:space="preserve"> are subject to Genuine Diversity of Ownership rules (</w:t>
      </w:r>
      <w:proofErr w:type="spellStart"/>
      <w:r w:rsidR="00052EC2" w:rsidRPr="00EA6573">
        <w:t>GDO</w:t>
      </w:r>
      <w:proofErr w:type="spellEnd"/>
      <w:r w:rsidR="00052EC2" w:rsidRPr="00EA6573">
        <w:t xml:space="preserve">) and similar rules could be introduced for </w:t>
      </w:r>
      <w:proofErr w:type="spellStart"/>
      <w:r w:rsidR="00052EC2" w:rsidRPr="00EA6573">
        <w:t>CoACS</w:t>
      </w:r>
      <w:proofErr w:type="spellEnd"/>
      <w:r w:rsidR="00052EC2" w:rsidRPr="00EA6573">
        <w:t xml:space="preserve">…as well as the </w:t>
      </w:r>
      <w:proofErr w:type="spellStart"/>
      <w:r w:rsidR="00052EC2" w:rsidRPr="00EA6573">
        <w:t>GAAR</w:t>
      </w:r>
      <w:proofErr w:type="spellEnd"/>
      <w:r w:rsidR="00052EC2" w:rsidRPr="00EA6573">
        <w:t xml:space="preserve">”. </w:t>
      </w:r>
    </w:p>
    <w:p w14:paraId="39BAD46A" w14:textId="0A26E839" w:rsidR="008975EF" w:rsidRPr="00A20AC9" w:rsidRDefault="00052EC2"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color w:val="000000" w:themeColor="text1"/>
          <w:szCs w:val="24"/>
          <w:lang w:val="en" w:eastAsia="en-GB"/>
        </w:rPr>
      </w:pPr>
      <w:proofErr w:type="spellStart"/>
      <w:r>
        <w:t>GAAR</w:t>
      </w:r>
      <w:proofErr w:type="spellEnd"/>
      <w:r>
        <w:t xml:space="preserve"> refers to the Scottish Revenue and Tax Powers Act’s General Anti Avoidance Rules.  Related to this point the Law Society of Scotland and others highlighted that the current claw back for </w:t>
      </w:r>
      <w:proofErr w:type="spellStart"/>
      <w:r>
        <w:t>SDLT</w:t>
      </w:r>
      <w:proofErr w:type="spellEnd"/>
      <w:r>
        <w:t xml:space="preserve"> may be amended and any change made should be considered if a similar </w:t>
      </w:r>
      <w:proofErr w:type="spellStart"/>
      <w:r>
        <w:t>LBTT</w:t>
      </w:r>
      <w:proofErr w:type="spellEnd"/>
      <w:r>
        <w:t xml:space="preserve"> relief is introduced.</w:t>
      </w:r>
    </w:p>
    <w:p w14:paraId="11A77E65" w14:textId="77777777" w:rsidR="00A20AC9" w:rsidRPr="00A20AC9" w:rsidRDefault="00A20AC9" w:rsidP="004B0BF7">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p>
    <w:p w14:paraId="5CB2BAA8" w14:textId="5EECDC85" w:rsidR="00E208EF" w:rsidRDefault="00EA6573"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color w:val="000000" w:themeColor="text1"/>
          <w:szCs w:val="24"/>
          <w:lang w:val="en" w:eastAsia="en-GB"/>
        </w:rPr>
      </w:pPr>
      <w:r w:rsidRPr="00A20AC9">
        <w:rPr>
          <w:rFonts w:cs="Arial"/>
          <w:color w:val="000000" w:themeColor="text1"/>
          <w:szCs w:val="24"/>
          <w:lang w:val="en" w:eastAsia="en-GB"/>
        </w:rPr>
        <w:t>Stakeholders believed that</w:t>
      </w:r>
      <w:r w:rsidR="00D163AE">
        <w:rPr>
          <w:rFonts w:cs="Arial"/>
          <w:color w:val="000000" w:themeColor="text1"/>
          <w:szCs w:val="24"/>
          <w:lang w:val="en" w:eastAsia="en-GB"/>
        </w:rPr>
        <w:t>,</w:t>
      </w:r>
      <w:r w:rsidRPr="00A20AC9">
        <w:rPr>
          <w:rFonts w:cs="Arial"/>
          <w:color w:val="000000" w:themeColor="text1"/>
          <w:szCs w:val="24"/>
          <w:lang w:val="en" w:eastAsia="en-GB"/>
        </w:rPr>
        <w:t xml:space="preserve"> </w:t>
      </w:r>
      <w:r w:rsidR="00AB57AC">
        <w:rPr>
          <w:rFonts w:cs="Arial"/>
          <w:color w:val="000000" w:themeColor="text1"/>
          <w:szCs w:val="24"/>
          <w:lang w:val="en" w:eastAsia="en-GB"/>
        </w:rPr>
        <w:t>should</w:t>
      </w:r>
      <w:r w:rsidRPr="00A20AC9">
        <w:rPr>
          <w:rFonts w:cs="Arial"/>
          <w:color w:val="000000" w:themeColor="text1"/>
          <w:szCs w:val="24"/>
          <w:lang w:val="en" w:eastAsia="en-GB"/>
        </w:rPr>
        <w:t xml:space="preserve"> the </w:t>
      </w:r>
      <w:proofErr w:type="spellStart"/>
      <w:r w:rsidRPr="00A20AC9">
        <w:rPr>
          <w:rFonts w:cs="Arial"/>
          <w:color w:val="000000" w:themeColor="text1"/>
          <w:szCs w:val="24"/>
          <w:lang w:val="en" w:eastAsia="en-GB"/>
        </w:rPr>
        <w:t>UK</w:t>
      </w:r>
      <w:r w:rsidR="00D163AE">
        <w:rPr>
          <w:rFonts w:cs="Arial"/>
          <w:color w:val="000000" w:themeColor="text1"/>
          <w:szCs w:val="24"/>
          <w:lang w:val="en" w:eastAsia="en-GB"/>
        </w:rPr>
        <w:t>Gov</w:t>
      </w:r>
      <w:proofErr w:type="spellEnd"/>
      <w:r w:rsidRPr="00A20AC9">
        <w:rPr>
          <w:rFonts w:cs="Arial"/>
          <w:color w:val="000000" w:themeColor="text1"/>
          <w:szCs w:val="24"/>
          <w:lang w:val="en" w:eastAsia="en-GB"/>
        </w:rPr>
        <w:t xml:space="preserve"> change </w:t>
      </w:r>
      <w:proofErr w:type="spellStart"/>
      <w:r w:rsidRPr="00A20AC9">
        <w:rPr>
          <w:rFonts w:cs="Arial"/>
          <w:color w:val="000000" w:themeColor="text1"/>
          <w:szCs w:val="24"/>
          <w:lang w:val="en" w:eastAsia="en-GB"/>
        </w:rPr>
        <w:t>SDLT</w:t>
      </w:r>
      <w:proofErr w:type="spellEnd"/>
      <w:r w:rsidRPr="00A20AC9">
        <w:rPr>
          <w:rFonts w:cs="Arial"/>
          <w:color w:val="000000" w:themeColor="text1"/>
          <w:szCs w:val="24"/>
          <w:lang w:val="en" w:eastAsia="en-GB"/>
        </w:rPr>
        <w:t xml:space="preserve"> </w:t>
      </w:r>
      <w:proofErr w:type="spellStart"/>
      <w:r w:rsidRPr="00A20AC9">
        <w:rPr>
          <w:rFonts w:cs="Arial"/>
          <w:color w:val="000000" w:themeColor="text1"/>
          <w:szCs w:val="24"/>
          <w:lang w:val="en" w:eastAsia="en-GB"/>
        </w:rPr>
        <w:t>clawback</w:t>
      </w:r>
      <w:proofErr w:type="spellEnd"/>
      <w:r w:rsidRPr="00A20AC9">
        <w:rPr>
          <w:rFonts w:cs="Arial"/>
          <w:color w:val="000000" w:themeColor="text1"/>
          <w:szCs w:val="24"/>
          <w:lang w:val="en" w:eastAsia="en-GB"/>
        </w:rPr>
        <w:t xml:space="preserve"> arrangements</w:t>
      </w:r>
      <w:r w:rsidR="00D163AE">
        <w:rPr>
          <w:rFonts w:cs="Arial"/>
          <w:color w:val="000000" w:themeColor="text1"/>
          <w:szCs w:val="24"/>
          <w:lang w:val="en" w:eastAsia="en-GB"/>
        </w:rPr>
        <w:t>,</w:t>
      </w:r>
      <w:r w:rsidRPr="00A20AC9">
        <w:rPr>
          <w:rFonts w:cs="Arial"/>
          <w:color w:val="000000" w:themeColor="text1"/>
          <w:szCs w:val="24"/>
          <w:lang w:val="en" w:eastAsia="en-GB"/>
        </w:rPr>
        <w:t xml:space="preserve"> </w:t>
      </w:r>
      <w:r w:rsidR="00897A8C">
        <w:rPr>
          <w:rFonts w:cs="Arial"/>
          <w:color w:val="000000" w:themeColor="text1"/>
          <w:szCs w:val="24"/>
          <w:lang w:val="en" w:eastAsia="en-GB"/>
        </w:rPr>
        <w:t>the industry would see</w:t>
      </w:r>
      <w:r w:rsidR="00E208EF" w:rsidRPr="00A20AC9">
        <w:rPr>
          <w:rFonts w:cs="Arial"/>
          <w:color w:val="000000" w:themeColor="text1"/>
          <w:szCs w:val="24"/>
          <w:lang w:val="en" w:eastAsia="en-GB"/>
        </w:rPr>
        <w:t xml:space="preserve"> a sudden increase of fund managers initiating seeding into </w:t>
      </w:r>
      <w:proofErr w:type="spellStart"/>
      <w:r w:rsidRPr="00A20AC9">
        <w:rPr>
          <w:rFonts w:cs="Arial"/>
          <w:color w:val="000000" w:themeColor="text1"/>
          <w:szCs w:val="24"/>
          <w:lang w:val="en" w:eastAsia="en-GB"/>
        </w:rPr>
        <w:t>PIAF’</w:t>
      </w:r>
      <w:r w:rsidR="00897A8C">
        <w:rPr>
          <w:rFonts w:cs="Arial"/>
          <w:color w:val="000000" w:themeColor="text1"/>
          <w:szCs w:val="24"/>
          <w:lang w:val="en" w:eastAsia="en-GB"/>
        </w:rPr>
        <w:t>s</w:t>
      </w:r>
      <w:proofErr w:type="spellEnd"/>
      <w:r w:rsidR="00897A8C">
        <w:rPr>
          <w:rFonts w:cs="Arial"/>
          <w:color w:val="000000" w:themeColor="text1"/>
          <w:szCs w:val="24"/>
          <w:lang w:val="en" w:eastAsia="en-GB"/>
        </w:rPr>
        <w:t xml:space="preserve"> an</w:t>
      </w:r>
      <w:r w:rsidRPr="00A20AC9">
        <w:rPr>
          <w:rFonts w:cs="Arial"/>
          <w:color w:val="000000" w:themeColor="text1"/>
          <w:szCs w:val="24"/>
          <w:lang w:val="en" w:eastAsia="en-GB"/>
        </w:rPr>
        <w:t xml:space="preserve">d </w:t>
      </w:r>
      <w:proofErr w:type="spellStart"/>
      <w:r w:rsidR="00E208EF" w:rsidRPr="00A20AC9">
        <w:rPr>
          <w:rFonts w:cs="Arial"/>
          <w:color w:val="000000" w:themeColor="text1"/>
          <w:szCs w:val="24"/>
          <w:lang w:val="en" w:eastAsia="en-GB"/>
        </w:rPr>
        <w:t>CoACS</w:t>
      </w:r>
      <w:proofErr w:type="spellEnd"/>
      <w:r w:rsidR="00823767">
        <w:rPr>
          <w:rFonts w:cs="Arial"/>
          <w:color w:val="000000" w:themeColor="text1"/>
          <w:szCs w:val="24"/>
          <w:lang w:val="en" w:eastAsia="en-GB"/>
        </w:rPr>
        <w:t xml:space="preserve"> </w:t>
      </w:r>
      <w:r w:rsidR="00DF2DCB">
        <w:rPr>
          <w:rFonts w:cs="Arial"/>
          <w:color w:val="000000" w:themeColor="text1"/>
          <w:szCs w:val="24"/>
          <w:lang w:val="en" w:eastAsia="en-GB"/>
        </w:rPr>
        <w:t>which</w:t>
      </w:r>
      <w:r w:rsidR="00D163AE">
        <w:rPr>
          <w:rFonts w:cs="Arial"/>
          <w:color w:val="000000" w:themeColor="text1"/>
          <w:szCs w:val="24"/>
          <w:lang w:val="en" w:eastAsia="en-GB"/>
        </w:rPr>
        <w:t xml:space="preserve"> in turn w</w:t>
      </w:r>
      <w:r w:rsidR="005600FA">
        <w:rPr>
          <w:rFonts w:cs="Arial"/>
          <w:color w:val="000000" w:themeColor="text1"/>
          <w:szCs w:val="24"/>
          <w:lang w:val="en" w:eastAsia="en-GB"/>
        </w:rPr>
        <w:t>ould create</w:t>
      </w:r>
      <w:r w:rsidR="00D163AE">
        <w:rPr>
          <w:rFonts w:cs="Arial"/>
          <w:color w:val="000000" w:themeColor="text1"/>
          <w:szCs w:val="24"/>
          <w:lang w:val="en" w:eastAsia="en-GB"/>
        </w:rPr>
        <w:t xml:space="preserve"> associated</w:t>
      </w:r>
      <w:r w:rsidR="00823767">
        <w:rPr>
          <w:rFonts w:cs="Arial"/>
          <w:color w:val="000000" w:themeColor="text1"/>
          <w:szCs w:val="24"/>
          <w:lang w:val="en" w:eastAsia="en-GB"/>
        </w:rPr>
        <w:t xml:space="preserve"> economic risks around the desirability of Scottish property</w:t>
      </w:r>
      <w:r w:rsidR="00897A8C">
        <w:rPr>
          <w:rFonts w:cs="Arial"/>
          <w:color w:val="000000" w:themeColor="text1"/>
          <w:szCs w:val="24"/>
          <w:lang w:val="en" w:eastAsia="en-GB"/>
        </w:rPr>
        <w:t>.</w:t>
      </w:r>
      <w:r w:rsidR="00E208EF" w:rsidRPr="00A20AC9">
        <w:rPr>
          <w:rFonts w:cs="Arial"/>
          <w:color w:val="000000" w:themeColor="text1"/>
          <w:szCs w:val="24"/>
          <w:lang w:val="en" w:eastAsia="en-GB"/>
        </w:rPr>
        <w:t xml:space="preserve"> </w:t>
      </w:r>
    </w:p>
    <w:p w14:paraId="1210A4AB" w14:textId="77777777" w:rsidR="00823767" w:rsidRPr="00A20AC9" w:rsidRDefault="00823767" w:rsidP="004B0BF7">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p>
    <w:p w14:paraId="38EFC147" w14:textId="00E98E4B" w:rsidR="00414C16" w:rsidRDefault="00414C16"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color w:val="000000" w:themeColor="text1"/>
          <w:szCs w:val="24"/>
          <w:lang w:val="en" w:eastAsia="en-GB"/>
        </w:rPr>
      </w:pPr>
      <w:r w:rsidRPr="00A20AC9">
        <w:rPr>
          <w:rFonts w:cs="Arial"/>
          <w:color w:val="000000" w:themeColor="text1"/>
          <w:szCs w:val="24"/>
          <w:lang w:val="en" w:eastAsia="en-GB"/>
        </w:rPr>
        <w:t>Almost all respondents commented that the investment industry was having d</w:t>
      </w:r>
      <w:r w:rsidR="00E208EF" w:rsidRPr="00A20AC9">
        <w:rPr>
          <w:rFonts w:cs="Arial"/>
          <w:color w:val="000000" w:themeColor="text1"/>
          <w:szCs w:val="24"/>
          <w:lang w:val="en" w:eastAsia="en-GB"/>
        </w:rPr>
        <w:t>ifficulties with</w:t>
      </w:r>
      <w:r w:rsidR="00D163AE">
        <w:rPr>
          <w:rFonts w:cs="Arial"/>
          <w:color w:val="000000" w:themeColor="text1"/>
          <w:szCs w:val="24"/>
          <w:lang w:val="en" w:eastAsia="en-GB"/>
        </w:rPr>
        <w:t xml:space="preserve"> plans to</w:t>
      </w:r>
      <w:r w:rsidRPr="00A20AC9">
        <w:rPr>
          <w:rFonts w:cs="Arial"/>
          <w:color w:val="000000" w:themeColor="text1"/>
          <w:szCs w:val="24"/>
          <w:lang w:val="en" w:eastAsia="en-GB"/>
        </w:rPr>
        <w:t xml:space="preserve"> seed</w:t>
      </w:r>
      <w:r w:rsidR="00D163AE">
        <w:rPr>
          <w:rFonts w:cs="Arial"/>
          <w:color w:val="000000" w:themeColor="text1"/>
          <w:szCs w:val="24"/>
          <w:lang w:val="en" w:eastAsia="en-GB"/>
        </w:rPr>
        <w:t xml:space="preserve"> properties into </w:t>
      </w:r>
      <w:r w:rsidR="00A20AC9" w:rsidRPr="00A20AC9">
        <w:rPr>
          <w:rFonts w:cs="Arial"/>
          <w:color w:val="000000" w:themeColor="text1"/>
          <w:szCs w:val="24"/>
          <w:lang w:val="en" w:eastAsia="en-GB"/>
        </w:rPr>
        <w:t xml:space="preserve">these new </w:t>
      </w:r>
      <w:r w:rsidR="00D163AE">
        <w:rPr>
          <w:rFonts w:cs="Arial"/>
          <w:color w:val="000000" w:themeColor="text1"/>
          <w:szCs w:val="24"/>
          <w:lang w:val="en" w:eastAsia="en-GB"/>
        </w:rPr>
        <w:t>types of investment vehicle</w:t>
      </w:r>
      <w:r w:rsidR="00A20AC9" w:rsidRPr="00A20AC9">
        <w:rPr>
          <w:rFonts w:cs="Arial"/>
          <w:color w:val="000000" w:themeColor="text1"/>
          <w:szCs w:val="24"/>
          <w:lang w:val="en" w:eastAsia="en-GB"/>
        </w:rPr>
        <w:t xml:space="preserve"> as </w:t>
      </w:r>
      <w:proofErr w:type="spellStart"/>
      <w:r w:rsidR="00E208EF" w:rsidRPr="00A20AC9">
        <w:rPr>
          <w:rFonts w:cs="Arial"/>
          <w:color w:val="000000" w:themeColor="text1"/>
          <w:szCs w:val="24"/>
          <w:lang w:val="en" w:eastAsia="en-GB"/>
        </w:rPr>
        <w:t>SDLT</w:t>
      </w:r>
      <w:proofErr w:type="spellEnd"/>
      <w:r w:rsidR="00E208EF" w:rsidRPr="00A20AC9">
        <w:rPr>
          <w:rFonts w:cs="Arial"/>
          <w:color w:val="000000" w:themeColor="text1"/>
          <w:szCs w:val="24"/>
          <w:lang w:val="en" w:eastAsia="en-GB"/>
        </w:rPr>
        <w:t xml:space="preserve"> </w:t>
      </w:r>
      <w:r w:rsidR="00897A8C">
        <w:rPr>
          <w:rFonts w:cs="Arial"/>
          <w:color w:val="000000" w:themeColor="text1"/>
          <w:szCs w:val="24"/>
          <w:lang w:val="en" w:eastAsia="en-GB"/>
        </w:rPr>
        <w:t xml:space="preserve">anti-avoidance </w:t>
      </w:r>
      <w:r w:rsidR="00E208EF" w:rsidRPr="00A20AC9">
        <w:rPr>
          <w:rFonts w:cs="Arial"/>
          <w:color w:val="000000" w:themeColor="text1"/>
          <w:szCs w:val="24"/>
          <w:lang w:val="en" w:eastAsia="en-GB"/>
        </w:rPr>
        <w:t>claw back provisions</w:t>
      </w:r>
      <w:r w:rsidR="005C5CE4">
        <w:rPr>
          <w:rFonts w:cs="Arial"/>
          <w:color w:val="000000" w:themeColor="text1"/>
          <w:szCs w:val="24"/>
          <w:lang w:val="en" w:eastAsia="en-GB"/>
        </w:rPr>
        <w:t xml:space="preserve"> created underwriting issues</w:t>
      </w:r>
      <w:r w:rsidRPr="00A20AC9">
        <w:rPr>
          <w:rFonts w:cs="Arial"/>
          <w:color w:val="000000" w:themeColor="text1"/>
          <w:szCs w:val="24"/>
          <w:lang w:val="en" w:eastAsia="en-GB"/>
        </w:rPr>
        <w:t>.  For example it was noted that a</w:t>
      </w:r>
      <w:r w:rsidR="00E208EF" w:rsidRPr="00A20AC9">
        <w:rPr>
          <w:rFonts w:cs="Arial"/>
          <w:color w:val="000000" w:themeColor="text1"/>
          <w:szCs w:val="24"/>
          <w:lang w:val="en" w:eastAsia="en-GB"/>
        </w:rPr>
        <w:t xml:space="preserve">ctuaries </w:t>
      </w:r>
      <w:r w:rsidRPr="00A20AC9">
        <w:rPr>
          <w:rFonts w:cs="Arial"/>
          <w:color w:val="000000" w:themeColor="text1"/>
          <w:szCs w:val="24"/>
          <w:lang w:val="en" w:eastAsia="en-GB"/>
        </w:rPr>
        <w:t xml:space="preserve">were </w:t>
      </w:r>
      <w:r w:rsidR="007B1560">
        <w:rPr>
          <w:rFonts w:cs="Arial"/>
          <w:color w:val="000000" w:themeColor="text1"/>
          <w:szCs w:val="24"/>
          <w:lang w:val="en" w:eastAsia="en-GB"/>
        </w:rPr>
        <w:t xml:space="preserve">usually </w:t>
      </w:r>
      <w:r w:rsidR="00E208EF" w:rsidRPr="00A20AC9">
        <w:rPr>
          <w:rFonts w:cs="Arial"/>
          <w:color w:val="000000" w:themeColor="text1"/>
          <w:szCs w:val="24"/>
          <w:lang w:val="en" w:eastAsia="en-GB"/>
        </w:rPr>
        <w:t xml:space="preserve">obliged to consider their policy holders wishes </w:t>
      </w:r>
      <w:r w:rsidRPr="00A20AC9">
        <w:rPr>
          <w:rFonts w:cs="Arial"/>
          <w:color w:val="000000" w:themeColor="text1"/>
          <w:szCs w:val="24"/>
          <w:lang w:val="en" w:eastAsia="en-GB"/>
        </w:rPr>
        <w:t>(</w:t>
      </w:r>
      <w:r w:rsidR="007B1560">
        <w:rPr>
          <w:rFonts w:cs="Arial"/>
          <w:color w:val="000000" w:themeColor="text1"/>
          <w:szCs w:val="24"/>
          <w:lang w:val="en" w:eastAsia="en-GB"/>
        </w:rPr>
        <w:t>over the</w:t>
      </w:r>
      <w:r w:rsidR="00E208EF" w:rsidRPr="00A20AC9">
        <w:rPr>
          <w:rFonts w:cs="Arial"/>
          <w:color w:val="000000" w:themeColor="text1"/>
          <w:szCs w:val="24"/>
          <w:lang w:val="en" w:eastAsia="en-GB"/>
        </w:rPr>
        <w:t xml:space="preserve"> operation of funds as a whole</w:t>
      </w:r>
      <w:r w:rsidRPr="00A20AC9">
        <w:rPr>
          <w:rFonts w:cs="Arial"/>
          <w:color w:val="000000" w:themeColor="text1"/>
          <w:szCs w:val="24"/>
          <w:lang w:val="en" w:eastAsia="en-GB"/>
        </w:rPr>
        <w:t>)</w:t>
      </w:r>
      <w:r w:rsidR="00897A8C">
        <w:rPr>
          <w:rFonts w:cs="Arial"/>
          <w:color w:val="000000" w:themeColor="text1"/>
          <w:szCs w:val="24"/>
          <w:lang w:val="en" w:eastAsia="en-GB"/>
        </w:rPr>
        <w:t xml:space="preserve">. </w:t>
      </w:r>
      <w:r w:rsidR="00D163AE">
        <w:rPr>
          <w:rFonts w:cs="Arial"/>
          <w:color w:val="000000" w:themeColor="text1"/>
          <w:szCs w:val="24"/>
          <w:lang w:val="en" w:eastAsia="en-GB"/>
        </w:rPr>
        <w:t xml:space="preserve"> It was argued that</w:t>
      </w:r>
      <w:r w:rsidR="00897A8C">
        <w:rPr>
          <w:rFonts w:cs="Arial"/>
          <w:color w:val="000000" w:themeColor="text1"/>
          <w:szCs w:val="24"/>
          <w:lang w:val="en" w:eastAsia="en-GB"/>
        </w:rPr>
        <w:t xml:space="preserve"> </w:t>
      </w:r>
      <w:r w:rsidR="00D163AE">
        <w:rPr>
          <w:rFonts w:cs="Arial"/>
          <w:color w:val="000000" w:themeColor="text1"/>
          <w:szCs w:val="24"/>
          <w:lang w:val="en" w:eastAsia="en-GB"/>
        </w:rPr>
        <w:t>u</w:t>
      </w:r>
      <w:r w:rsidR="00E208EF" w:rsidRPr="00A20AC9">
        <w:rPr>
          <w:rFonts w:cs="Arial"/>
          <w:color w:val="000000" w:themeColor="text1"/>
          <w:szCs w:val="24"/>
          <w:lang w:val="en" w:eastAsia="en-GB"/>
        </w:rPr>
        <w:t xml:space="preserve">nit linked funds have </w:t>
      </w:r>
      <w:r w:rsidR="00897A8C">
        <w:rPr>
          <w:rFonts w:cs="Arial"/>
          <w:color w:val="000000" w:themeColor="text1"/>
          <w:szCs w:val="24"/>
          <w:lang w:val="en" w:eastAsia="en-GB"/>
        </w:rPr>
        <w:t>little</w:t>
      </w:r>
      <w:r w:rsidR="00E208EF" w:rsidRPr="00A20AC9">
        <w:rPr>
          <w:rFonts w:cs="Arial"/>
          <w:color w:val="000000" w:themeColor="text1"/>
          <w:szCs w:val="24"/>
          <w:lang w:val="en" w:eastAsia="en-GB"/>
        </w:rPr>
        <w:t xml:space="preserve"> control over individual investors behaviors</w:t>
      </w:r>
      <w:r w:rsidR="00897A8C">
        <w:rPr>
          <w:rFonts w:cs="Arial"/>
          <w:color w:val="000000" w:themeColor="text1"/>
          <w:szCs w:val="24"/>
          <w:lang w:val="en" w:eastAsia="en-GB"/>
        </w:rPr>
        <w:t>, if an individual</w:t>
      </w:r>
      <w:r w:rsidR="00E208EF" w:rsidRPr="00A20AC9">
        <w:rPr>
          <w:rFonts w:cs="Arial"/>
          <w:color w:val="000000" w:themeColor="text1"/>
          <w:szCs w:val="24"/>
          <w:lang w:val="en" w:eastAsia="en-GB"/>
        </w:rPr>
        <w:t xml:space="preserve"> </w:t>
      </w:r>
      <w:r w:rsidR="00897A8C" w:rsidRPr="00A20AC9">
        <w:rPr>
          <w:rFonts w:cs="Arial"/>
          <w:color w:val="000000" w:themeColor="text1"/>
          <w:szCs w:val="24"/>
          <w:lang w:val="en" w:eastAsia="en-GB"/>
        </w:rPr>
        <w:t>leaves a fund</w:t>
      </w:r>
      <w:r w:rsidR="00897A8C">
        <w:rPr>
          <w:rFonts w:cs="Arial"/>
          <w:color w:val="000000" w:themeColor="text1"/>
          <w:szCs w:val="24"/>
          <w:lang w:val="en" w:eastAsia="en-GB"/>
        </w:rPr>
        <w:t xml:space="preserve">, </w:t>
      </w:r>
      <w:r w:rsidR="00E208EF" w:rsidRPr="00A20AC9">
        <w:rPr>
          <w:rFonts w:cs="Arial"/>
          <w:color w:val="000000" w:themeColor="text1"/>
          <w:szCs w:val="24"/>
          <w:lang w:val="en" w:eastAsia="en-GB"/>
        </w:rPr>
        <w:t xml:space="preserve">claw back </w:t>
      </w:r>
      <w:r w:rsidR="00897A8C">
        <w:rPr>
          <w:rFonts w:cs="Arial"/>
          <w:color w:val="000000" w:themeColor="text1"/>
          <w:szCs w:val="24"/>
          <w:lang w:val="en" w:eastAsia="en-GB"/>
        </w:rPr>
        <w:t>can be triggered</w:t>
      </w:r>
      <w:r w:rsidR="00E208EF" w:rsidRPr="00A20AC9">
        <w:rPr>
          <w:rFonts w:cs="Arial"/>
          <w:color w:val="000000" w:themeColor="text1"/>
          <w:szCs w:val="24"/>
          <w:lang w:val="en" w:eastAsia="en-GB"/>
        </w:rPr>
        <w:t xml:space="preserve">.  </w:t>
      </w:r>
      <w:r w:rsidR="00897A8C">
        <w:rPr>
          <w:rFonts w:cs="Arial"/>
          <w:color w:val="000000" w:themeColor="text1"/>
          <w:szCs w:val="24"/>
          <w:lang w:val="en" w:eastAsia="en-GB"/>
        </w:rPr>
        <w:t>This was because f</w:t>
      </w:r>
      <w:r w:rsidR="00E208EF" w:rsidRPr="00A20AC9">
        <w:rPr>
          <w:rFonts w:cs="Arial"/>
          <w:color w:val="000000" w:themeColor="text1"/>
          <w:szCs w:val="24"/>
          <w:lang w:val="en" w:eastAsia="en-GB"/>
        </w:rPr>
        <w:t xml:space="preserve">und managers </w:t>
      </w:r>
      <w:r w:rsidR="00DF2DCB">
        <w:rPr>
          <w:rFonts w:cs="Arial"/>
          <w:color w:val="000000" w:themeColor="text1"/>
          <w:szCs w:val="24"/>
          <w:lang w:val="en" w:eastAsia="en-GB"/>
        </w:rPr>
        <w:t xml:space="preserve">are compelled </w:t>
      </w:r>
      <w:r w:rsidR="00E208EF" w:rsidRPr="00A20AC9">
        <w:rPr>
          <w:rFonts w:cs="Arial"/>
          <w:color w:val="000000" w:themeColor="text1"/>
          <w:szCs w:val="24"/>
          <w:lang w:val="en" w:eastAsia="en-GB"/>
        </w:rPr>
        <w:t>to release assets to meet the costs of policy redemptions</w:t>
      </w:r>
      <w:r w:rsidRPr="00A20AC9">
        <w:rPr>
          <w:rFonts w:cs="Arial"/>
          <w:color w:val="000000" w:themeColor="text1"/>
          <w:szCs w:val="24"/>
          <w:lang w:val="en" w:eastAsia="en-GB"/>
        </w:rPr>
        <w:t xml:space="preserve"> and examples where given of Scottish assets being </w:t>
      </w:r>
      <w:r w:rsidR="00A20AC9" w:rsidRPr="00A20AC9">
        <w:rPr>
          <w:rFonts w:cs="Arial"/>
          <w:color w:val="000000" w:themeColor="text1"/>
          <w:szCs w:val="24"/>
          <w:lang w:val="en" w:eastAsia="en-GB"/>
        </w:rPr>
        <w:t>separated</w:t>
      </w:r>
      <w:r w:rsidRPr="00A20AC9">
        <w:rPr>
          <w:rFonts w:cs="Arial"/>
          <w:color w:val="000000" w:themeColor="text1"/>
          <w:szCs w:val="24"/>
          <w:lang w:val="en" w:eastAsia="en-GB"/>
        </w:rPr>
        <w:t xml:space="preserve"> out at the point of seeding and used </w:t>
      </w:r>
      <w:r w:rsidR="00A20AC9" w:rsidRPr="00A20AC9">
        <w:rPr>
          <w:rFonts w:cs="Arial"/>
          <w:color w:val="000000" w:themeColor="text1"/>
          <w:szCs w:val="24"/>
          <w:lang w:val="en" w:eastAsia="en-GB"/>
        </w:rPr>
        <w:t>precisely</w:t>
      </w:r>
      <w:r w:rsidRPr="00A20AC9">
        <w:rPr>
          <w:rFonts w:cs="Arial"/>
          <w:color w:val="000000" w:themeColor="text1"/>
          <w:szCs w:val="24"/>
          <w:lang w:val="en" w:eastAsia="en-GB"/>
        </w:rPr>
        <w:t xml:space="preserve"> for this purpose. </w:t>
      </w:r>
      <w:r w:rsidR="00DF2DCB">
        <w:rPr>
          <w:rFonts w:cs="Arial"/>
          <w:color w:val="000000" w:themeColor="text1"/>
          <w:szCs w:val="24"/>
          <w:lang w:val="en" w:eastAsia="en-GB"/>
        </w:rPr>
        <w:t xml:space="preserve"> Some stakeholders stated that this claw back issue is more acute in the insurance industry given the volatil</w:t>
      </w:r>
      <w:r w:rsidR="00F94194">
        <w:rPr>
          <w:rFonts w:cs="Arial"/>
          <w:color w:val="000000" w:themeColor="text1"/>
          <w:szCs w:val="24"/>
          <w:lang w:val="en" w:eastAsia="en-GB"/>
        </w:rPr>
        <w:t>ity of</w:t>
      </w:r>
      <w:r w:rsidR="00DF2DCB">
        <w:rPr>
          <w:rFonts w:cs="Arial"/>
          <w:color w:val="000000" w:themeColor="text1"/>
          <w:szCs w:val="24"/>
          <w:lang w:val="en" w:eastAsia="en-GB"/>
        </w:rPr>
        <w:t xml:space="preserve"> </w:t>
      </w:r>
      <w:r w:rsidR="00AB57AC">
        <w:rPr>
          <w:rFonts w:cs="Arial"/>
          <w:color w:val="000000" w:themeColor="text1"/>
          <w:szCs w:val="24"/>
          <w:lang w:val="en" w:eastAsia="en-GB"/>
        </w:rPr>
        <w:t>poli</w:t>
      </w:r>
      <w:r w:rsidR="007D46FD">
        <w:rPr>
          <w:rFonts w:cs="Arial"/>
          <w:color w:val="000000" w:themeColor="text1"/>
          <w:szCs w:val="24"/>
          <w:lang w:val="en" w:eastAsia="en-GB"/>
        </w:rPr>
        <w:t>cy holder behavior and potential liabilities</w:t>
      </w:r>
      <w:r w:rsidR="00DF2DCB">
        <w:rPr>
          <w:rFonts w:cs="Arial"/>
          <w:color w:val="000000" w:themeColor="text1"/>
          <w:szCs w:val="24"/>
          <w:lang w:val="en" w:eastAsia="en-GB"/>
        </w:rPr>
        <w:t>.</w:t>
      </w:r>
    </w:p>
    <w:p w14:paraId="200998B6" w14:textId="77777777" w:rsidR="00263EF1" w:rsidRDefault="00263EF1" w:rsidP="00263EF1">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p>
    <w:p w14:paraId="100E6C18" w14:textId="2084EC71" w:rsidR="004B0BF7" w:rsidRDefault="00AB57AC"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color w:val="000000" w:themeColor="text1"/>
          <w:szCs w:val="24"/>
          <w:lang w:val="en" w:eastAsia="en-GB"/>
        </w:rPr>
      </w:pPr>
      <w:r w:rsidRPr="00263EF1">
        <w:rPr>
          <w:rFonts w:cs="Arial"/>
          <w:color w:val="000000" w:themeColor="text1"/>
          <w:szCs w:val="24"/>
          <w:lang w:val="en" w:eastAsia="en-GB"/>
        </w:rPr>
        <w:lastRenderedPageBreak/>
        <w:t>Despite this there was a general</w:t>
      </w:r>
      <w:r w:rsidR="007D46FD">
        <w:rPr>
          <w:rFonts w:cs="Arial"/>
          <w:color w:val="000000" w:themeColor="text1"/>
          <w:szCs w:val="24"/>
          <w:lang w:val="en" w:eastAsia="en-GB"/>
        </w:rPr>
        <w:t xml:space="preserve">, but not </w:t>
      </w:r>
      <w:proofErr w:type="spellStart"/>
      <w:r w:rsidR="007D46FD">
        <w:rPr>
          <w:rFonts w:cs="Arial"/>
          <w:color w:val="000000" w:themeColor="text1"/>
          <w:szCs w:val="24"/>
          <w:lang w:val="en" w:eastAsia="en-GB"/>
        </w:rPr>
        <w:t>unaminous</w:t>
      </w:r>
      <w:proofErr w:type="spellEnd"/>
      <w:r w:rsidR="007D46FD">
        <w:rPr>
          <w:rFonts w:cs="Arial"/>
          <w:color w:val="000000" w:themeColor="text1"/>
          <w:szCs w:val="24"/>
          <w:lang w:val="en" w:eastAsia="en-GB"/>
        </w:rPr>
        <w:t>,</w:t>
      </w:r>
      <w:r w:rsidRPr="00263EF1">
        <w:rPr>
          <w:rFonts w:cs="Arial"/>
          <w:color w:val="000000" w:themeColor="text1"/>
          <w:szCs w:val="24"/>
          <w:lang w:val="en" w:eastAsia="en-GB"/>
        </w:rPr>
        <w:t xml:space="preserve"> consensus amongst stakeholders that many aspects of the</w:t>
      </w:r>
      <w:r w:rsidR="00F94194" w:rsidRPr="00263EF1">
        <w:rPr>
          <w:rFonts w:cs="Arial"/>
          <w:color w:val="000000" w:themeColor="text1"/>
          <w:szCs w:val="24"/>
          <w:lang w:val="en" w:eastAsia="en-GB"/>
        </w:rPr>
        <w:t xml:space="preserve"> other</w:t>
      </w:r>
      <w:r w:rsidRPr="00263EF1">
        <w:rPr>
          <w:rFonts w:cs="Arial"/>
          <w:color w:val="000000" w:themeColor="text1"/>
          <w:szCs w:val="24"/>
          <w:lang w:val="en" w:eastAsia="en-GB"/>
        </w:rPr>
        <w:t xml:space="preserve"> </w:t>
      </w:r>
      <w:proofErr w:type="spellStart"/>
      <w:r w:rsidRPr="00263EF1">
        <w:rPr>
          <w:rFonts w:cs="Arial"/>
          <w:color w:val="000000" w:themeColor="text1"/>
          <w:szCs w:val="24"/>
          <w:lang w:val="en" w:eastAsia="en-GB"/>
        </w:rPr>
        <w:t>SDLT</w:t>
      </w:r>
      <w:proofErr w:type="spellEnd"/>
      <w:r w:rsidRPr="00263EF1">
        <w:rPr>
          <w:rFonts w:cs="Arial"/>
          <w:color w:val="000000" w:themeColor="text1"/>
          <w:szCs w:val="24"/>
          <w:lang w:val="en" w:eastAsia="en-GB"/>
        </w:rPr>
        <w:t xml:space="preserve"> anti-avoidance measures replicated should the reliefs be put in place.</w:t>
      </w:r>
    </w:p>
    <w:p w14:paraId="3DF0E1CE" w14:textId="64FB1982" w:rsidR="00AB57AC" w:rsidRPr="00263EF1" w:rsidRDefault="00AB57AC" w:rsidP="004B0BF7">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r w:rsidRPr="00263EF1">
        <w:rPr>
          <w:rFonts w:cs="Arial"/>
          <w:color w:val="000000" w:themeColor="text1"/>
          <w:szCs w:val="24"/>
          <w:lang w:val="en" w:eastAsia="en-GB"/>
        </w:rPr>
        <w:t xml:space="preserve">   </w:t>
      </w:r>
    </w:p>
    <w:p w14:paraId="7CE56915" w14:textId="2C41B352" w:rsidR="004B0BF7" w:rsidRDefault="004B0BF7"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color w:val="000000" w:themeColor="text1"/>
          <w:szCs w:val="24"/>
          <w:lang w:val="en" w:eastAsia="en-GB"/>
        </w:rPr>
      </w:pPr>
      <w:r w:rsidRPr="004B0BF7">
        <w:rPr>
          <w:rFonts w:cs="Arial"/>
          <w:color w:val="000000" w:themeColor="text1"/>
          <w:szCs w:val="24"/>
          <w:lang w:val="en" w:eastAsia="en-GB"/>
        </w:rPr>
        <w:t xml:space="preserve">Respondents were also of the general opinion that That Scottish Government should it legislate for a percentage of ownership test </w:t>
      </w:r>
      <w:r>
        <w:rPr>
          <w:rFonts w:cs="Arial"/>
          <w:color w:val="000000" w:themeColor="text1"/>
          <w:szCs w:val="24"/>
          <w:lang w:val="en" w:eastAsia="en-GB"/>
        </w:rPr>
        <w:t xml:space="preserve">and portfolio test </w:t>
      </w:r>
      <w:r w:rsidRPr="004B0BF7">
        <w:rPr>
          <w:rFonts w:cs="Arial"/>
          <w:color w:val="000000" w:themeColor="text1"/>
          <w:szCs w:val="24"/>
          <w:lang w:val="en" w:eastAsia="en-GB"/>
        </w:rPr>
        <w:t xml:space="preserve">in the same manner as the rest of the UK </w:t>
      </w:r>
      <w:r>
        <w:rPr>
          <w:rFonts w:cs="Arial"/>
          <w:color w:val="000000" w:themeColor="text1"/>
          <w:szCs w:val="24"/>
          <w:lang w:val="en" w:eastAsia="en-GB"/>
        </w:rPr>
        <w:t xml:space="preserve">and that </w:t>
      </w:r>
      <w:r w:rsidRPr="004B0BF7">
        <w:rPr>
          <w:rFonts w:cs="Arial"/>
          <w:color w:val="000000" w:themeColor="text1"/>
          <w:szCs w:val="24"/>
          <w:lang w:val="en" w:eastAsia="en-GB"/>
        </w:rPr>
        <w:t>that the fund managers and scheme operators should be liable for the recovery of any tax liability resulti</w:t>
      </w:r>
      <w:r>
        <w:rPr>
          <w:rFonts w:cs="Arial"/>
          <w:color w:val="000000" w:themeColor="text1"/>
          <w:szCs w:val="24"/>
          <w:lang w:val="en" w:eastAsia="en-GB"/>
        </w:rPr>
        <w:t>ng from these potential reliefs.</w:t>
      </w:r>
    </w:p>
    <w:p w14:paraId="10D7E3EB" w14:textId="77777777" w:rsidR="004B0BF7" w:rsidRPr="004B0BF7" w:rsidRDefault="004B0BF7" w:rsidP="004B0BF7">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p>
    <w:p w14:paraId="0CE9190C" w14:textId="0F084B66" w:rsidR="00EA6573" w:rsidRPr="00263EF1" w:rsidRDefault="00EA6573" w:rsidP="004B0BF7">
      <w:pPr>
        <w:pStyle w:val="ListParagraph"/>
        <w:numPr>
          <w:ilvl w:val="0"/>
          <w:numId w:val="19"/>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i/>
          <w:color w:val="000000" w:themeColor="text1"/>
          <w:szCs w:val="24"/>
          <w:lang w:val="en" w:eastAsia="en-GB"/>
        </w:rPr>
      </w:pPr>
      <w:r w:rsidRPr="00263EF1">
        <w:rPr>
          <w:rFonts w:cs="Arial"/>
          <w:color w:val="000000" w:themeColor="text1"/>
          <w:szCs w:val="24"/>
          <w:lang w:val="en" w:eastAsia="en-GB"/>
        </w:rPr>
        <w:t>Aberdeen Standard</w:t>
      </w:r>
      <w:r w:rsidRPr="00263EF1">
        <w:rPr>
          <w:rFonts w:cs="Arial"/>
          <w:i/>
          <w:color w:val="000000" w:themeColor="text1"/>
          <w:szCs w:val="24"/>
          <w:lang w:val="en" w:eastAsia="en-GB"/>
        </w:rPr>
        <w:t xml:space="preserve"> stated,</w:t>
      </w:r>
    </w:p>
    <w:p w14:paraId="6D43A1EA" w14:textId="3630A4CF" w:rsidR="00E208EF" w:rsidRPr="00D64F9F" w:rsidRDefault="00EA6573" w:rsidP="00D64F9F">
      <w:p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i/>
          <w:color w:val="000000" w:themeColor="text1"/>
          <w:szCs w:val="24"/>
          <w:lang w:val="en" w:eastAsia="en-GB"/>
        </w:rPr>
      </w:pPr>
      <w:r>
        <w:rPr>
          <w:rFonts w:cs="Arial"/>
          <w:i/>
          <w:color w:val="000000" w:themeColor="text1"/>
          <w:szCs w:val="24"/>
          <w:lang w:val="en" w:eastAsia="en-GB"/>
        </w:rPr>
        <w:tab/>
        <w:t>“</w:t>
      </w:r>
      <w:r w:rsidR="00D64F9F" w:rsidRPr="00EA6573">
        <w:rPr>
          <w:rFonts w:cs="Arial"/>
          <w:color w:val="000000" w:themeColor="text1"/>
          <w:szCs w:val="24"/>
          <w:lang w:val="en" w:eastAsia="en-GB"/>
        </w:rPr>
        <w:t xml:space="preserve">The commercial property portfolio test should be based on the value of pan UK property using the same thresholds as apply for </w:t>
      </w:r>
      <w:proofErr w:type="spellStart"/>
      <w:r w:rsidR="00D64F9F" w:rsidRPr="00EA6573">
        <w:rPr>
          <w:rFonts w:cs="Arial"/>
          <w:color w:val="000000" w:themeColor="text1"/>
          <w:szCs w:val="24"/>
          <w:lang w:val="en" w:eastAsia="en-GB"/>
        </w:rPr>
        <w:t>SDLT</w:t>
      </w:r>
      <w:proofErr w:type="spellEnd"/>
      <w:r w:rsidR="00D64F9F" w:rsidRPr="00EA6573">
        <w:rPr>
          <w:rFonts w:cs="Arial"/>
          <w:color w:val="000000" w:themeColor="text1"/>
          <w:szCs w:val="24"/>
          <w:lang w:val="en" w:eastAsia="en-GB"/>
        </w:rPr>
        <w:t xml:space="preserve">. This simplifies compliance and means that a fund that qualifies for </w:t>
      </w:r>
      <w:proofErr w:type="spellStart"/>
      <w:r w:rsidR="00D64F9F" w:rsidRPr="00EA6573">
        <w:rPr>
          <w:rFonts w:cs="Arial"/>
          <w:color w:val="000000" w:themeColor="text1"/>
          <w:szCs w:val="24"/>
          <w:lang w:val="en" w:eastAsia="en-GB"/>
        </w:rPr>
        <w:t>SDLT</w:t>
      </w:r>
      <w:proofErr w:type="spellEnd"/>
      <w:r w:rsidR="00D64F9F" w:rsidRPr="00EA6573">
        <w:rPr>
          <w:rFonts w:cs="Arial"/>
          <w:color w:val="000000" w:themeColor="text1"/>
          <w:szCs w:val="24"/>
          <w:lang w:val="en" w:eastAsia="en-GB"/>
        </w:rPr>
        <w:t xml:space="preserve"> seeding relief will automatically qualify for </w:t>
      </w:r>
      <w:proofErr w:type="spellStart"/>
      <w:r w:rsidR="00D64F9F" w:rsidRPr="00EA6573">
        <w:rPr>
          <w:rFonts w:cs="Arial"/>
          <w:color w:val="000000" w:themeColor="text1"/>
          <w:szCs w:val="24"/>
          <w:lang w:val="en" w:eastAsia="en-GB"/>
        </w:rPr>
        <w:t>LBTT</w:t>
      </w:r>
      <w:proofErr w:type="spellEnd"/>
      <w:r w:rsidR="00D64F9F" w:rsidRPr="00EA6573">
        <w:rPr>
          <w:rFonts w:cs="Arial"/>
          <w:color w:val="000000" w:themeColor="text1"/>
          <w:szCs w:val="24"/>
          <w:lang w:val="en" w:eastAsia="en-GB"/>
        </w:rPr>
        <w:t xml:space="preserve"> seeding relief as well.</w:t>
      </w:r>
    </w:p>
    <w:p w14:paraId="65FF54B2" w14:textId="3153DDD8" w:rsidR="00263EF1" w:rsidRDefault="00701A48" w:rsidP="00701A48">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r>
        <w:rPr>
          <w:rFonts w:cs="Arial"/>
          <w:color w:val="000000" w:themeColor="text1"/>
          <w:szCs w:val="24"/>
          <w:lang w:val="en" w:eastAsia="en-GB"/>
        </w:rPr>
        <w:tab/>
      </w:r>
      <w:r w:rsidR="00E208EF" w:rsidRPr="00263EF1">
        <w:rPr>
          <w:rFonts w:cs="Arial"/>
          <w:color w:val="000000" w:themeColor="text1"/>
          <w:szCs w:val="24"/>
          <w:lang w:val="en" w:eastAsia="en-GB"/>
        </w:rPr>
        <w:t>Investment funds are subject to non-tax regulation and legislation that make it very difficult for investment funds to engage in tax avoidance. The regulation that exists around setting up investment funds contains substantial anti-fraud and anti-avoidance measures.</w:t>
      </w:r>
      <w:r>
        <w:rPr>
          <w:rFonts w:cs="Arial"/>
          <w:color w:val="000000" w:themeColor="text1"/>
          <w:szCs w:val="24"/>
          <w:lang w:val="en" w:eastAsia="en-GB"/>
        </w:rPr>
        <w:t>”</w:t>
      </w:r>
      <w:r w:rsidR="00E208EF" w:rsidRPr="00263EF1">
        <w:rPr>
          <w:rFonts w:cs="Arial"/>
          <w:color w:val="000000" w:themeColor="text1"/>
          <w:szCs w:val="24"/>
          <w:lang w:val="en" w:eastAsia="en-GB"/>
        </w:rPr>
        <w:t xml:space="preserve"> </w:t>
      </w:r>
    </w:p>
    <w:p w14:paraId="3EC8117D" w14:textId="77777777" w:rsidR="004B0BF7" w:rsidRDefault="00E208EF" w:rsidP="004B0BF7">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color w:val="000000" w:themeColor="text1"/>
          <w:szCs w:val="24"/>
          <w:lang w:val="en" w:eastAsia="en-GB"/>
        </w:rPr>
      </w:pPr>
      <w:r w:rsidRPr="00263EF1">
        <w:rPr>
          <w:rFonts w:cs="Arial"/>
          <w:color w:val="000000" w:themeColor="text1"/>
          <w:szCs w:val="24"/>
          <w:lang w:val="en" w:eastAsia="en-GB"/>
        </w:rPr>
        <w:t xml:space="preserve"> </w:t>
      </w:r>
    </w:p>
    <w:p w14:paraId="148742E1" w14:textId="4B9218A3" w:rsidR="005919B6" w:rsidRPr="00EA6573" w:rsidRDefault="00EA6573" w:rsidP="004B0BF7">
      <w:pPr>
        <w:pStyle w:val="ListParagraph"/>
        <w:tabs>
          <w:tab w:val="clear" w:pos="720"/>
          <w:tab w:val="clear" w:pos="1440"/>
          <w:tab w:val="clear" w:pos="2160"/>
          <w:tab w:val="clear" w:pos="2880"/>
          <w:tab w:val="clear" w:pos="4680"/>
          <w:tab w:val="clear" w:pos="5400"/>
          <w:tab w:val="clear" w:pos="9000"/>
        </w:tabs>
        <w:spacing w:after="200" w:line="315" w:lineRule="atLeast"/>
        <w:ind w:left="0"/>
        <w:jc w:val="left"/>
        <w:textAlignment w:val="top"/>
        <w:rPr>
          <w:rFonts w:cs="Arial"/>
          <w:b/>
          <w:caps/>
          <w:szCs w:val="24"/>
        </w:rPr>
      </w:pPr>
      <w:r w:rsidRPr="00EA6573">
        <w:rPr>
          <w:rFonts w:cs="Arial"/>
          <w:b/>
          <w:caps/>
          <w:szCs w:val="24"/>
        </w:rPr>
        <w:t>potential impacts</w:t>
      </w:r>
    </w:p>
    <w:p w14:paraId="0DE607FB" w14:textId="77777777" w:rsidR="00A50FBA" w:rsidRPr="00865D06" w:rsidRDefault="00A50FBA" w:rsidP="00C91D85">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Cs/>
          <w:szCs w:val="24"/>
          <w:highlight w:val="yellow"/>
          <w:lang w:eastAsia="en-GB"/>
        </w:rPr>
      </w:pPr>
    </w:p>
    <w:p w14:paraId="2F93A464" w14:textId="4411D801" w:rsidR="00EA6573" w:rsidRPr="00E26E58" w:rsidRDefault="00865D06" w:rsidP="00C91D85">
      <w:pPr>
        <w:pStyle w:val="ListParagraph"/>
        <w:numPr>
          <w:ilvl w:val="0"/>
          <w:numId w:val="19"/>
        </w:numPr>
        <w:tabs>
          <w:tab w:val="clear" w:pos="720"/>
          <w:tab w:val="clear" w:pos="1440"/>
          <w:tab w:val="clear" w:pos="2160"/>
          <w:tab w:val="clear" w:pos="2880"/>
          <w:tab w:val="clear" w:pos="4680"/>
          <w:tab w:val="clear" w:pos="5400"/>
          <w:tab w:val="clear" w:pos="9000"/>
        </w:tabs>
        <w:spacing w:line="240" w:lineRule="auto"/>
        <w:ind w:left="0" w:firstLine="0"/>
        <w:jc w:val="left"/>
        <w:rPr>
          <w:rFonts w:ascii="Arial Bold" w:hAnsi="Arial Bold" w:cs="Arial"/>
          <w:szCs w:val="24"/>
        </w:rPr>
      </w:pPr>
      <w:r w:rsidRPr="00263EF1">
        <w:rPr>
          <w:rFonts w:cs="Arial"/>
          <w:szCs w:val="24"/>
        </w:rPr>
        <w:t xml:space="preserve">The consultation asked if </w:t>
      </w:r>
      <w:proofErr w:type="spellStart"/>
      <w:r w:rsidR="00A33FD8" w:rsidRPr="00263EF1">
        <w:rPr>
          <w:rFonts w:cs="Arial"/>
          <w:szCs w:val="24"/>
        </w:rPr>
        <w:t>LBTT</w:t>
      </w:r>
      <w:proofErr w:type="spellEnd"/>
      <w:r w:rsidR="00A33FD8" w:rsidRPr="00263EF1">
        <w:rPr>
          <w:rFonts w:cs="Arial"/>
          <w:szCs w:val="24"/>
        </w:rPr>
        <w:t xml:space="preserve"> parity with </w:t>
      </w:r>
      <w:proofErr w:type="spellStart"/>
      <w:r w:rsidR="00A33FD8" w:rsidRPr="00263EF1">
        <w:rPr>
          <w:rFonts w:cs="Arial"/>
          <w:szCs w:val="24"/>
        </w:rPr>
        <w:t>SDLT</w:t>
      </w:r>
      <w:proofErr w:type="spellEnd"/>
      <w:r w:rsidR="00A33FD8" w:rsidRPr="00263EF1">
        <w:rPr>
          <w:rFonts w:cs="Arial"/>
          <w:szCs w:val="24"/>
        </w:rPr>
        <w:t xml:space="preserve"> regarding </w:t>
      </w:r>
      <w:proofErr w:type="spellStart"/>
      <w:r w:rsidR="00A33FD8" w:rsidRPr="00263EF1">
        <w:rPr>
          <w:rFonts w:cs="Arial"/>
          <w:szCs w:val="24"/>
        </w:rPr>
        <w:t>PAIFs</w:t>
      </w:r>
      <w:proofErr w:type="spellEnd"/>
      <w:r w:rsidR="00A33FD8" w:rsidRPr="00263EF1">
        <w:rPr>
          <w:rFonts w:cs="Arial"/>
          <w:szCs w:val="24"/>
        </w:rPr>
        <w:t xml:space="preserve"> and </w:t>
      </w:r>
      <w:proofErr w:type="spellStart"/>
      <w:r w:rsidR="00A33FD8" w:rsidRPr="00263EF1">
        <w:rPr>
          <w:rFonts w:cs="Arial"/>
          <w:szCs w:val="24"/>
        </w:rPr>
        <w:t>CoACS</w:t>
      </w:r>
      <w:proofErr w:type="spellEnd"/>
      <w:r w:rsidRPr="00263EF1">
        <w:rPr>
          <w:rFonts w:cs="Arial"/>
          <w:szCs w:val="24"/>
        </w:rPr>
        <w:t xml:space="preserve"> would</w:t>
      </w:r>
      <w:r w:rsidR="00A33FD8" w:rsidRPr="00263EF1">
        <w:rPr>
          <w:rFonts w:cs="Arial"/>
          <w:szCs w:val="24"/>
        </w:rPr>
        <w:t xml:space="preserve"> in any way, impact upon equal opportunities, human rights, island communities, privacy and/or sust</w:t>
      </w:r>
      <w:r w:rsidRPr="00263EF1">
        <w:rPr>
          <w:rFonts w:cs="Arial"/>
          <w:szCs w:val="24"/>
        </w:rPr>
        <w:t xml:space="preserve">ainable development in Scotland.  </w:t>
      </w:r>
      <w:r w:rsidR="00E26E58">
        <w:rPr>
          <w:rFonts w:cs="Arial"/>
          <w:szCs w:val="24"/>
        </w:rPr>
        <w:t xml:space="preserve">Two respondents  noted that not introducing </w:t>
      </w:r>
      <w:proofErr w:type="spellStart"/>
      <w:r w:rsidR="00E26E58">
        <w:rPr>
          <w:rFonts w:cs="Arial"/>
          <w:szCs w:val="24"/>
        </w:rPr>
        <w:t>re;iefs</w:t>
      </w:r>
      <w:proofErr w:type="spellEnd"/>
      <w:r w:rsidR="00E26E58">
        <w:rPr>
          <w:rFonts w:cs="Arial"/>
          <w:szCs w:val="24"/>
        </w:rPr>
        <w:t xml:space="preserve"> would impact upon sustainable development.  </w:t>
      </w:r>
      <w:r w:rsidRPr="00263EF1">
        <w:rPr>
          <w:rFonts w:cs="Arial"/>
          <w:szCs w:val="24"/>
        </w:rPr>
        <w:t xml:space="preserve">No </w:t>
      </w:r>
      <w:r w:rsidR="00E26E58">
        <w:rPr>
          <w:rFonts w:cs="Arial"/>
          <w:szCs w:val="24"/>
        </w:rPr>
        <w:t xml:space="preserve">other </w:t>
      </w:r>
      <w:r w:rsidRPr="00263EF1">
        <w:rPr>
          <w:rFonts w:cs="Arial"/>
          <w:szCs w:val="24"/>
        </w:rPr>
        <w:t xml:space="preserve">comments were received from </w:t>
      </w:r>
      <w:r w:rsidR="00CF5E7E" w:rsidRPr="00263EF1">
        <w:rPr>
          <w:rFonts w:cs="Arial"/>
          <w:szCs w:val="24"/>
        </w:rPr>
        <w:t xml:space="preserve">stakeholders and no </w:t>
      </w:r>
      <w:r w:rsidR="00C91D85">
        <w:rPr>
          <w:rFonts w:cs="Arial"/>
          <w:szCs w:val="24"/>
        </w:rPr>
        <w:t xml:space="preserve">negative </w:t>
      </w:r>
      <w:r w:rsidR="00CF5E7E" w:rsidRPr="00263EF1">
        <w:rPr>
          <w:rFonts w:cs="Arial"/>
          <w:szCs w:val="24"/>
        </w:rPr>
        <w:t>impacts were identified.</w:t>
      </w:r>
      <w:r w:rsidR="00C91D85">
        <w:rPr>
          <w:rFonts w:cs="Arial"/>
          <w:szCs w:val="24"/>
        </w:rPr>
        <w:t xml:space="preserve">  </w:t>
      </w:r>
    </w:p>
    <w:p w14:paraId="7B98877C" w14:textId="77777777" w:rsidR="00E26E58" w:rsidRPr="00263EF1" w:rsidRDefault="00E26E58" w:rsidP="00E26E58">
      <w:pPr>
        <w:pStyle w:val="ListParagraph"/>
        <w:tabs>
          <w:tab w:val="clear" w:pos="720"/>
          <w:tab w:val="clear" w:pos="1440"/>
          <w:tab w:val="clear" w:pos="2160"/>
          <w:tab w:val="clear" w:pos="2880"/>
          <w:tab w:val="clear" w:pos="4680"/>
          <w:tab w:val="clear" w:pos="5400"/>
          <w:tab w:val="clear" w:pos="9000"/>
        </w:tabs>
        <w:spacing w:line="240" w:lineRule="auto"/>
        <w:ind w:left="0"/>
        <w:jc w:val="left"/>
        <w:rPr>
          <w:rFonts w:ascii="Arial Bold" w:hAnsi="Arial Bold" w:cs="Arial"/>
          <w:szCs w:val="24"/>
        </w:rPr>
      </w:pPr>
    </w:p>
    <w:p w14:paraId="26C7EE6C" w14:textId="77777777" w:rsidR="00E26E58" w:rsidRDefault="00E26E58">
      <w:pPr>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caps/>
          <w:sz w:val="28"/>
          <w:szCs w:val="28"/>
        </w:rPr>
      </w:pPr>
      <w:r>
        <w:rPr>
          <w:rFonts w:ascii="Arial Bold" w:hAnsi="Arial Bold" w:cs="Arial"/>
          <w:caps/>
          <w:sz w:val="28"/>
          <w:szCs w:val="28"/>
        </w:rPr>
        <w:br w:type="page"/>
      </w:r>
    </w:p>
    <w:p w14:paraId="14524690" w14:textId="7ACD0864" w:rsidR="008811E6" w:rsidRPr="00BA0B6C"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ascii="Arial Bold" w:hAnsi="Arial Bold" w:cs="Arial"/>
          <w:caps/>
          <w:sz w:val="28"/>
          <w:szCs w:val="28"/>
        </w:rPr>
      </w:pPr>
      <w:r w:rsidRPr="00BA0B6C">
        <w:rPr>
          <w:rFonts w:ascii="Arial Bold" w:hAnsi="Arial Bold" w:cs="Arial"/>
          <w:caps/>
          <w:sz w:val="28"/>
          <w:szCs w:val="28"/>
        </w:rPr>
        <w:lastRenderedPageBreak/>
        <w:t>Scottish Government Response</w:t>
      </w:r>
    </w:p>
    <w:p w14:paraId="21E1A2F1" w14:textId="77777777" w:rsidR="00701A48" w:rsidRPr="00BB449F" w:rsidRDefault="00701A48" w:rsidP="00701A48">
      <w:pPr>
        <w:spacing w:line="240" w:lineRule="auto"/>
        <w:jc w:val="left"/>
        <w:rPr>
          <w:rFonts w:cs="Arial"/>
          <w:szCs w:val="24"/>
          <w:highlight w:val="yellow"/>
        </w:rPr>
      </w:pPr>
    </w:p>
    <w:p w14:paraId="6834B703" w14:textId="38EA8716" w:rsidR="00701A48" w:rsidRPr="00701A48" w:rsidRDefault="00701A48" w:rsidP="00F20AE6">
      <w:pPr>
        <w:pStyle w:val="ListParagraph"/>
        <w:numPr>
          <w:ilvl w:val="0"/>
          <w:numId w:val="19"/>
        </w:numPr>
        <w:tabs>
          <w:tab w:val="clear" w:pos="720"/>
          <w:tab w:val="left" w:pos="567"/>
        </w:tabs>
        <w:spacing w:line="240" w:lineRule="auto"/>
        <w:ind w:left="0" w:firstLine="0"/>
        <w:rPr>
          <w:rFonts w:cs="Arial"/>
          <w:szCs w:val="24"/>
        </w:rPr>
      </w:pPr>
      <w:r w:rsidRPr="00701A48">
        <w:rPr>
          <w:rFonts w:cs="Arial"/>
          <w:szCs w:val="24"/>
        </w:rPr>
        <w:t>The Scottish Government would like to thank all those who responded to this consultation.  The high level of detailed and technically informed responses along with the feedback and comments provided separately during our stakeholder event (</w:t>
      </w:r>
      <w:r>
        <w:rPr>
          <w:rFonts w:cs="Arial"/>
          <w:szCs w:val="24"/>
        </w:rPr>
        <w:t xml:space="preserve">see </w:t>
      </w:r>
      <w:r w:rsidRPr="00701A48">
        <w:rPr>
          <w:rFonts w:cs="Arial"/>
          <w:szCs w:val="24"/>
        </w:rPr>
        <w:t xml:space="preserve">Annex B) has helped to inform the Scottish Government’s approach to an </w:t>
      </w:r>
      <w:proofErr w:type="spellStart"/>
      <w:r w:rsidRPr="00701A48">
        <w:rPr>
          <w:rFonts w:cs="Arial"/>
          <w:szCs w:val="24"/>
        </w:rPr>
        <w:t>LBTT</w:t>
      </w:r>
      <w:proofErr w:type="spellEnd"/>
      <w:r w:rsidRPr="00701A48">
        <w:rPr>
          <w:rFonts w:cs="Arial"/>
          <w:szCs w:val="24"/>
        </w:rPr>
        <w:t xml:space="preserve"> ‘seeding relief’ and an ‘</w:t>
      </w:r>
      <w:proofErr w:type="spellStart"/>
      <w:r>
        <w:rPr>
          <w:rFonts w:cs="Arial"/>
          <w:szCs w:val="24"/>
        </w:rPr>
        <w:t>CoACS</w:t>
      </w:r>
      <w:proofErr w:type="spellEnd"/>
      <w:r>
        <w:rPr>
          <w:rFonts w:cs="Arial"/>
          <w:szCs w:val="24"/>
        </w:rPr>
        <w:t xml:space="preserve"> unit trading </w:t>
      </w:r>
      <w:r w:rsidRPr="00701A48">
        <w:rPr>
          <w:rFonts w:cs="Arial"/>
          <w:szCs w:val="24"/>
        </w:rPr>
        <w:t>relief’.</w:t>
      </w:r>
      <w:r w:rsidR="00F20AE6">
        <w:rPr>
          <w:rFonts w:cs="Arial"/>
          <w:szCs w:val="24"/>
        </w:rPr>
        <w:t xml:space="preserve"> </w:t>
      </w:r>
      <w:r w:rsidR="00F20AE6" w:rsidRPr="00701A48">
        <w:rPr>
          <w:rFonts w:cs="Arial"/>
          <w:color w:val="000000"/>
          <w:szCs w:val="24"/>
        </w:rPr>
        <w:t xml:space="preserve">The Scottish </w:t>
      </w:r>
      <w:r w:rsidR="00F20AE6">
        <w:rPr>
          <w:rFonts w:cs="Arial"/>
          <w:color w:val="000000"/>
          <w:szCs w:val="24"/>
        </w:rPr>
        <w:t xml:space="preserve">Government will </w:t>
      </w:r>
      <w:r w:rsidR="00F20AE6" w:rsidRPr="00701A48">
        <w:rPr>
          <w:rFonts w:cs="Arial"/>
          <w:color w:val="000000"/>
          <w:szCs w:val="24"/>
        </w:rPr>
        <w:t xml:space="preserve">introduce these two reliefs from </w:t>
      </w:r>
      <w:proofErr w:type="spellStart"/>
      <w:r w:rsidR="00F20AE6" w:rsidRPr="00701A48">
        <w:rPr>
          <w:rFonts w:cs="Arial"/>
          <w:color w:val="000000"/>
          <w:szCs w:val="24"/>
        </w:rPr>
        <w:t>LBTT</w:t>
      </w:r>
      <w:proofErr w:type="spellEnd"/>
      <w:r w:rsidR="00F20AE6" w:rsidRPr="00701A48">
        <w:rPr>
          <w:rFonts w:cs="Arial"/>
          <w:color w:val="000000"/>
          <w:szCs w:val="24"/>
        </w:rPr>
        <w:t xml:space="preserve"> for property investment funds</w:t>
      </w:r>
      <w:r w:rsidR="00F20AE6">
        <w:rPr>
          <w:rFonts w:cs="Arial"/>
          <w:color w:val="000000"/>
          <w:szCs w:val="24"/>
        </w:rPr>
        <w:t xml:space="preserve"> over the course of 2019</w:t>
      </w:r>
      <w:r w:rsidR="00F20AE6" w:rsidRPr="00701A48">
        <w:rPr>
          <w:rFonts w:cs="Arial"/>
          <w:color w:val="000000"/>
          <w:szCs w:val="24"/>
        </w:rPr>
        <w:t>. </w:t>
      </w:r>
    </w:p>
    <w:p w14:paraId="495DE886" w14:textId="77777777" w:rsidR="00701A48" w:rsidRDefault="00701A48" w:rsidP="00701A48">
      <w:pPr>
        <w:tabs>
          <w:tab w:val="clear" w:pos="720"/>
          <w:tab w:val="left" w:pos="567"/>
        </w:tabs>
        <w:spacing w:line="240" w:lineRule="auto"/>
        <w:rPr>
          <w:rFonts w:cs="Arial"/>
          <w:szCs w:val="24"/>
        </w:rPr>
      </w:pPr>
    </w:p>
    <w:p w14:paraId="32AE2EE1" w14:textId="77777777" w:rsidR="00701A48" w:rsidRPr="00701A48" w:rsidRDefault="00701A48" w:rsidP="00701A48">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eastAsiaTheme="minorHAnsi"/>
        </w:rPr>
      </w:pPr>
      <w:r w:rsidRPr="00701A48">
        <w:rPr>
          <w:rFonts w:eastAsiaTheme="minorHAnsi"/>
        </w:rPr>
        <w:t xml:space="preserve">The Scottish Government is aware of the importance of investment sector activity in supporting the commercial property sector, itself an important sector of the economy with commercial construction, repair and maintenance and real estate estimated at contributing almost £4.8 billion to Scottish </w:t>
      </w:r>
      <w:proofErr w:type="spellStart"/>
      <w:r w:rsidRPr="00701A48">
        <w:rPr>
          <w:rFonts w:eastAsiaTheme="minorHAnsi"/>
        </w:rPr>
        <w:t>GVA</w:t>
      </w:r>
      <w:proofErr w:type="spellEnd"/>
      <w:r w:rsidRPr="00701A48">
        <w:rPr>
          <w:rFonts w:eastAsiaTheme="minorHAnsi"/>
        </w:rPr>
        <w:t xml:space="preserve"> . This is equivalent to 3.7% of Scottish </w:t>
      </w:r>
      <w:proofErr w:type="spellStart"/>
      <w:r w:rsidRPr="00701A48">
        <w:rPr>
          <w:rFonts w:eastAsiaTheme="minorHAnsi"/>
        </w:rPr>
        <w:t>GVA</w:t>
      </w:r>
      <w:proofErr w:type="spellEnd"/>
      <w:r w:rsidRPr="00701A48">
        <w:rPr>
          <w:rFonts w:eastAsiaTheme="minorHAnsi"/>
        </w:rPr>
        <w:t xml:space="preserve">. Commercial property investment transactions totalled £2.8 billion in Scotland during 2017 whilst Scotland’s share of GB commercial property investment was 5.8% in 2017. </w:t>
      </w:r>
    </w:p>
    <w:p w14:paraId="5F492B2E" w14:textId="77777777" w:rsidR="00701A48" w:rsidRDefault="00701A48" w:rsidP="00701A4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Theme="minorHAnsi"/>
        </w:rPr>
      </w:pPr>
    </w:p>
    <w:p w14:paraId="150A5B74" w14:textId="42D1A063" w:rsidR="00701A48" w:rsidRPr="00701A48" w:rsidRDefault="00701A48" w:rsidP="00701A48">
      <w:pPr>
        <w:pStyle w:val="ListParagraph"/>
        <w:numPr>
          <w:ilvl w:val="0"/>
          <w:numId w:val="19"/>
        </w:numPr>
        <w:ind w:left="0" w:firstLine="0"/>
        <w:rPr>
          <w:rFonts w:cs="Arial"/>
          <w:szCs w:val="24"/>
        </w:rPr>
      </w:pPr>
      <w:r w:rsidRPr="00701A48">
        <w:rPr>
          <w:rFonts w:cs="Arial"/>
          <w:szCs w:val="24"/>
        </w:rPr>
        <w:t xml:space="preserve">The </w:t>
      </w:r>
      <w:r w:rsidR="00F20AE6">
        <w:rPr>
          <w:rFonts w:cs="Arial"/>
          <w:szCs w:val="24"/>
        </w:rPr>
        <w:t xml:space="preserve">one of the </w:t>
      </w:r>
      <w:r w:rsidRPr="00701A48">
        <w:rPr>
          <w:rFonts w:cs="Arial"/>
          <w:szCs w:val="24"/>
        </w:rPr>
        <w:t>main consideration</w:t>
      </w:r>
      <w:r w:rsidR="00F20AE6">
        <w:rPr>
          <w:rFonts w:cs="Arial"/>
          <w:szCs w:val="24"/>
        </w:rPr>
        <w:t>s</w:t>
      </w:r>
      <w:r w:rsidRPr="00701A48">
        <w:rPr>
          <w:rFonts w:cs="Arial"/>
          <w:szCs w:val="24"/>
        </w:rPr>
        <w:t xml:space="preserve"> of the Scottish Government was linkages between these investment vehicles and the real economy, however consideration was also given to how these investment vehicles perform and behaviours of investors if the reliefs were, or were not, provided for in </w:t>
      </w:r>
      <w:proofErr w:type="spellStart"/>
      <w:r w:rsidRPr="00701A48">
        <w:rPr>
          <w:rFonts w:cs="Arial"/>
          <w:szCs w:val="24"/>
        </w:rPr>
        <w:t>LBTT</w:t>
      </w:r>
      <w:proofErr w:type="spellEnd"/>
      <w:r w:rsidRPr="00701A48">
        <w:rPr>
          <w:rFonts w:cs="Arial"/>
          <w:szCs w:val="24"/>
        </w:rPr>
        <w:t xml:space="preserve"> legislation. The Scottish Government understands the main benefits that would flow to the asset management sector, pension funds and insurance companies wishing to collectivise their current property portfolios which may allow them to structure their operations more efficiently.  This includes benefits passed down to policy holders.</w:t>
      </w:r>
      <w:r w:rsidRPr="00701A48">
        <w:rPr>
          <w:kern w:val="24"/>
        </w:rPr>
        <w:t xml:space="preserve"> In addition without a relief new funds may not purchase or invest in Scottish property, given the relative inflexibility of these assets, which would be detrimental to future </w:t>
      </w:r>
      <w:proofErr w:type="spellStart"/>
      <w:r w:rsidRPr="00701A48">
        <w:rPr>
          <w:kern w:val="24"/>
        </w:rPr>
        <w:t>LBTT</w:t>
      </w:r>
      <w:proofErr w:type="spellEnd"/>
      <w:r w:rsidRPr="00701A48">
        <w:rPr>
          <w:kern w:val="24"/>
        </w:rPr>
        <w:t xml:space="preserve"> forecasts.</w:t>
      </w:r>
    </w:p>
    <w:p w14:paraId="49633F84" w14:textId="77777777" w:rsidR="00701A48" w:rsidRDefault="00701A48" w:rsidP="00701A48">
      <w:pPr>
        <w:rPr>
          <w:rFonts w:cs="Arial"/>
          <w:szCs w:val="24"/>
        </w:rPr>
      </w:pPr>
    </w:p>
    <w:p w14:paraId="7F8884A4" w14:textId="7730BC8D" w:rsidR="00701A48" w:rsidRPr="00701A48" w:rsidRDefault="00701A48" w:rsidP="00701A48">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eastAsiaTheme="minorHAnsi"/>
        </w:rPr>
      </w:pPr>
      <w:r w:rsidRPr="00701A48">
        <w:rPr>
          <w:rFonts w:eastAsiaTheme="minorHAnsi"/>
        </w:rPr>
        <w:t>Stakeholders also made arguments that access to this type of capital may be impeded as competition for investment is increasingly on an international basis with other countries and areas of the UK providing equivalent reliefs. Equally whilst much of Scottish and UK capital is often invested overseas, it is estimated that over 50% of commercial property investment transactions in Scotland involve overseas capital</w:t>
      </w:r>
      <w:r w:rsidR="00F20AE6">
        <w:rPr>
          <w:rFonts w:eastAsiaTheme="minorHAnsi"/>
        </w:rPr>
        <w:t xml:space="preserve">.  </w:t>
      </w:r>
      <w:r w:rsidRPr="00701A48">
        <w:rPr>
          <w:rFonts w:eastAsiaTheme="minorHAnsi"/>
        </w:rPr>
        <w:t xml:space="preserve"> </w:t>
      </w:r>
    </w:p>
    <w:p w14:paraId="335571AD" w14:textId="77777777" w:rsidR="00701A48" w:rsidRPr="00B96A54" w:rsidRDefault="00701A48" w:rsidP="00701A4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eastAsiaTheme="minorHAnsi"/>
        </w:rPr>
      </w:pPr>
    </w:p>
    <w:p w14:paraId="6FF6DB7A" w14:textId="1A95ECA2" w:rsidR="00701A48" w:rsidRPr="00701A48" w:rsidRDefault="00701A48" w:rsidP="00701A48">
      <w:pPr>
        <w:pStyle w:val="ListParagraph"/>
        <w:numPr>
          <w:ilvl w:val="0"/>
          <w:numId w:val="19"/>
        </w:numPr>
        <w:ind w:left="0" w:firstLine="0"/>
        <w:rPr>
          <w:rFonts w:cs="Arial"/>
          <w:szCs w:val="24"/>
        </w:rPr>
      </w:pPr>
      <w:r w:rsidRPr="00701A48">
        <w:rPr>
          <w:kern w:val="24"/>
        </w:rPr>
        <w:t xml:space="preserve">Stakeholders were also supportive of a relief for the exchange of </w:t>
      </w:r>
      <w:proofErr w:type="spellStart"/>
      <w:r w:rsidRPr="00701A48">
        <w:rPr>
          <w:kern w:val="24"/>
        </w:rPr>
        <w:t>CoACS</w:t>
      </w:r>
      <w:proofErr w:type="spellEnd"/>
      <w:r w:rsidRPr="00701A48">
        <w:rPr>
          <w:kern w:val="24"/>
        </w:rPr>
        <w:t xml:space="preserve"> units saying it would increase the liquidity in </w:t>
      </w:r>
      <w:proofErr w:type="spellStart"/>
      <w:r w:rsidRPr="00701A48">
        <w:rPr>
          <w:kern w:val="24"/>
        </w:rPr>
        <w:t>CoACS</w:t>
      </w:r>
      <w:proofErr w:type="spellEnd"/>
      <w:r w:rsidRPr="00701A48">
        <w:rPr>
          <w:kern w:val="24"/>
        </w:rPr>
        <w:t xml:space="preserve"> units and may encourage managers of </w:t>
      </w:r>
      <w:proofErr w:type="spellStart"/>
      <w:r w:rsidRPr="00701A48">
        <w:rPr>
          <w:kern w:val="24"/>
        </w:rPr>
        <w:t>CoACSs</w:t>
      </w:r>
      <w:proofErr w:type="spellEnd"/>
      <w:r w:rsidRPr="00701A48">
        <w:rPr>
          <w:kern w:val="24"/>
        </w:rPr>
        <w:t xml:space="preserve"> to invest in and develop Scottish property. </w:t>
      </w:r>
      <w:r w:rsidR="00F20AE6">
        <w:rPr>
          <w:kern w:val="24"/>
        </w:rPr>
        <w:t xml:space="preserve"> Through the consultation </w:t>
      </w:r>
      <w:r w:rsidRPr="00701A48">
        <w:rPr>
          <w:kern w:val="24"/>
        </w:rPr>
        <w:t xml:space="preserve"> managers of </w:t>
      </w:r>
      <w:proofErr w:type="spellStart"/>
      <w:r w:rsidRPr="00701A48">
        <w:rPr>
          <w:kern w:val="24"/>
        </w:rPr>
        <w:t>CoACS</w:t>
      </w:r>
      <w:proofErr w:type="spellEnd"/>
      <w:r w:rsidRPr="00701A48">
        <w:rPr>
          <w:kern w:val="24"/>
        </w:rPr>
        <w:t xml:space="preserve"> </w:t>
      </w:r>
      <w:r w:rsidR="00B14E20">
        <w:rPr>
          <w:kern w:val="24"/>
        </w:rPr>
        <w:t>stated they were</w:t>
      </w:r>
      <w:r w:rsidRPr="00701A48">
        <w:rPr>
          <w:kern w:val="24"/>
        </w:rPr>
        <w:t xml:space="preserve"> </w:t>
      </w:r>
      <w:r w:rsidR="00B14E20">
        <w:rPr>
          <w:kern w:val="24"/>
        </w:rPr>
        <w:t>cautious of</w:t>
      </w:r>
      <w:r w:rsidRPr="00701A48">
        <w:rPr>
          <w:kern w:val="24"/>
        </w:rPr>
        <w:t xml:space="preserve"> investing in and developing Scottish property in favour of property in the rest of the UK due to the relief available under </w:t>
      </w:r>
      <w:proofErr w:type="spellStart"/>
      <w:r w:rsidRPr="00701A48">
        <w:rPr>
          <w:kern w:val="24"/>
        </w:rPr>
        <w:t>SDLT</w:t>
      </w:r>
      <w:proofErr w:type="spellEnd"/>
      <w:r w:rsidRPr="00701A48">
        <w:rPr>
          <w:kern w:val="24"/>
        </w:rPr>
        <w:t>.</w:t>
      </w:r>
    </w:p>
    <w:p w14:paraId="6C4ECB28" w14:textId="77777777" w:rsidR="00701A48" w:rsidRDefault="00701A48" w:rsidP="00701A48">
      <w:pPr>
        <w:rPr>
          <w:rFonts w:cs="Arial"/>
          <w:szCs w:val="24"/>
        </w:rPr>
      </w:pPr>
    </w:p>
    <w:p w14:paraId="25D4B6D8" w14:textId="77777777" w:rsidR="00701A48" w:rsidRPr="00701A48" w:rsidRDefault="00701A48" w:rsidP="00701A48">
      <w:pPr>
        <w:pStyle w:val="ListParagraph"/>
        <w:numPr>
          <w:ilvl w:val="0"/>
          <w:numId w:val="19"/>
        </w:numPr>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01A48">
        <w:rPr>
          <w:rFonts w:cs="Arial"/>
          <w:bCs/>
          <w:szCs w:val="24"/>
          <w:lang w:eastAsia="en-GB"/>
        </w:rPr>
        <w:t xml:space="preserve">Whilst stakeholders responded wishing to see </w:t>
      </w:r>
      <w:proofErr w:type="spellStart"/>
      <w:r w:rsidRPr="00701A48">
        <w:rPr>
          <w:rFonts w:cs="Arial"/>
          <w:bCs/>
          <w:szCs w:val="24"/>
          <w:lang w:eastAsia="en-GB"/>
        </w:rPr>
        <w:t>LBTT</w:t>
      </w:r>
      <w:proofErr w:type="spellEnd"/>
      <w:r w:rsidRPr="00701A48">
        <w:rPr>
          <w:rFonts w:cs="Arial"/>
          <w:bCs/>
          <w:szCs w:val="24"/>
          <w:lang w:eastAsia="en-GB"/>
        </w:rPr>
        <w:t xml:space="preserve"> parity with </w:t>
      </w:r>
      <w:proofErr w:type="spellStart"/>
      <w:r w:rsidRPr="00701A48">
        <w:rPr>
          <w:rFonts w:cs="Arial"/>
          <w:bCs/>
          <w:szCs w:val="24"/>
          <w:lang w:eastAsia="en-GB"/>
        </w:rPr>
        <w:t>SDLT</w:t>
      </w:r>
      <w:proofErr w:type="spellEnd"/>
      <w:r w:rsidRPr="00701A48">
        <w:rPr>
          <w:rFonts w:cs="Arial"/>
          <w:bCs/>
          <w:szCs w:val="24"/>
          <w:lang w:eastAsia="en-GB"/>
        </w:rPr>
        <w:t xml:space="preserve"> in terms of a seeding relief they also highlighted that, due to underwriting issues in relation to anti-avoidance clawback arrangements, they were prevented from converting funds or seeding assets into these relatively new investment vehicles. </w:t>
      </w:r>
    </w:p>
    <w:p w14:paraId="6C7732F0" w14:textId="35B4412E" w:rsidR="00701A48" w:rsidRDefault="00701A48">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r>
        <w:rPr>
          <w:rFonts w:cs="Arial"/>
          <w:bCs/>
          <w:szCs w:val="24"/>
          <w:lang w:eastAsia="en-GB"/>
        </w:rPr>
        <w:br w:type="page"/>
      </w:r>
    </w:p>
    <w:p w14:paraId="5F354179" w14:textId="77777777" w:rsidR="00701A48" w:rsidRDefault="00701A48" w:rsidP="00701A48">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33EA236A" w14:textId="773A970C" w:rsidR="00701A48" w:rsidRPr="00701A48" w:rsidRDefault="00701A48" w:rsidP="00701A48">
      <w:pPr>
        <w:pStyle w:val="ListParagraph"/>
        <w:numPr>
          <w:ilvl w:val="0"/>
          <w:numId w:val="19"/>
        </w:numPr>
        <w:tabs>
          <w:tab w:val="clear" w:pos="720"/>
          <w:tab w:val="clear" w:pos="1440"/>
          <w:tab w:val="clear" w:pos="2160"/>
          <w:tab w:val="clear" w:pos="2880"/>
          <w:tab w:val="clear" w:pos="4680"/>
          <w:tab w:val="clear" w:pos="5400"/>
          <w:tab w:val="clear" w:pos="9000"/>
        </w:tabs>
        <w:spacing w:line="240" w:lineRule="auto"/>
        <w:ind w:left="0" w:firstLine="0"/>
        <w:jc w:val="left"/>
        <w:rPr>
          <w:rFonts w:cs="Arial"/>
          <w:bCs/>
          <w:szCs w:val="24"/>
          <w:lang w:eastAsia="en-GB"/>
        </w:rPr>
      </w:pPr>
      <w:r w:rsidRPr="00701A48">
        <w:rPr>
          <w:rFonts w:cs="Arial"/>
          <w:bCs/>
          <w:szCs w:val="24"/>
          <w:lang w:eastAsia="en-GB"/>
        </w:rPr>
        <w:t xml:space="preserve">Scottish Ministers are however mindful of the history around seeding reliefs – specifically that the UK government previously introduced an </w:t>
      </w:r>
      <w:proofErr w:type="spellStart"/>
      <w:r w:rsidRPr="00701A48">
        <w:rPr>
          <w:rFonts w:cs="Arial"/>
          <w:bCs/>
          <w:szCs w:val="24"/>
          <w:lang w:eastAsia="en-GB"/>
        </w:rPr>
        <w:t>SDLT</w:t>
      </w:r>
      <w:proofErr w:type="spellEnd"/>
      <w:r w:rsidRPr="00701A48">
        <w:rPr>
          <w:rFonts w:cs="Arial"/>
          <w:bCs/>
          <w:szCs w:val="24"/>
          <w:lang w:eastAsia="en-GB"/>
        </w:rPr>
        <w:t xml:space="preserve"> exemption for the seeding of assets into unit trusts which was widely acknowledged, through practices such as  ‘enveloping’, as being a </w:t>
      </w:r>
      <w:r w:rsidR="006449A5">
        <w:rPr>
          <w:rFonts w:cs="Arial"/>
          <w:bCs/>
          <w:szCs w:val="24"/>
          <w:lang w:eastAsia="en-GB"/>
        </w:rPr>
        <w:t xml:space="preserve">key </w:t>
      </w:r>
      <w:r w:rsidRPr="00701A48">
        <w:rPr>
          <w:rFonts w:cs="Arial"/>
          <w:bCs/>
          <w:szCs w:val="24"/>
          <w:lang w:eastAsia="en-GB"/>
        </w:rPr>
        <w:t xml:space="preserve">vehicle for tax avoidance.  </w:t>
      </w:r>
      <w:r w:rsidR="006449A5">
        <w:rPr>
          <w:rFonts w:cs="Arial"/>
          <w:bCs/>
          <w:szCs w:val="24"/>
          <w:lang w:eastAsia="en-GB"/>
        </w:rPr>
        <w:t>This relief was subsequently repealed through the 2006 Finance Act.</w:t>
      </w:r>
    </w:p>
    <w:p w14:paraId="385D67A9" w14:textId="77777777" w:rsidR="00701A48" w:rsidRDefault="00701A48" w:rsidP="00701A48">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GB"/>
        </w:rPr>
      </w:pPr>
    </w:p>
    <w:p w14:paraId="725E832D" w14:textId="77777777" w:rsidR="00701A48" w:rsidRPr="00701A48" w:rsidRDefault="00701A48" w:rsidP="00701A48">
      <w:pPr>
        <w:pStyle w:val="ListParagraph"/>
        <w:numPr>
          <w:ilvl w:val="0"/>
          <w:numId w:val="19"/>
        </w:numPr>
        <w:ind w:left="0" w:firstLine="0"/>
        <w:rPr>
          <w:lang w:val="en"/>
        </w:rPr>
      </w:pPr>
      <w:r w:rsidRPr="00701A48">
        <w:rPr>
          <w:lang w:val="en"/>
        </w:rPr>
        <w:t xml:space="preserve">The Scottish Government will therefore, as a starting point,  consult on legislation bringing parity with the UK on anti-avoidance measures including: </w:t>
      </w:r>
    </w:p>
    <w:p w14:paraId="2EDB4BD0" w14:textId="77777777" w:rsidR="00701A48" w:rsidRDefault="00701A48" w:rsidP="00701A48">
      <w:pPr>
        <w:rPr>
          <w:lang w:val="en"/>
        </w:rPr>
      </w:pPr>
    </w:p>
    <w:p w14:paraId="2DF824C9" w14:textId="77777777" w:rsidR="00701A48" w:rsidRPr="00D82F37" w:rsidRDefault="00701A48" w:rsidP="00701A48">
      <w:pPr>
        <w:pStyle w:val="ListParagraph"/>
        <w:numPr>
          <w:ilvl w:val="0"/>
          <w:numId w:val="22"/>
        </w:numPr>
        <w:ind w:left="567" w:hanging="425"/>
        <w:rPr>
          <w:lang w:val="en"/>
        </w:rPr>
      </w:pPr>
      <w:r w:rsidRPr="00D82F37">
        <w:rPr>
          <w:lang w:val="en"/>
        </w:rPr>
        <w:t xml:space="preserve">a </w:t>
      </w:r>
      <w:r>
        <w:rPr>
          <w:lang w:val="en"/>
        </w:rPr>
        <w:t xml:space="preserve">UK wide </w:t>
      </w:r>
      <w:r w:rsidRPr="00D82F37">
        <w:rPr>
          <w:lang w:val="en"/>
        </w:rPr>
        <w:t xml:space="preserve">‘portfolio test’ limiting the application of the relief to transactions where a minimum number of properties and a minimum value of properties are transferred, in order to eliminate the risk of enveloping, </w:t>
      </w:r>
    </w:p>
    <w:p w14:paraId="23A7EBAB" w14:textId="2640B500" w:rsidR="00701A48" w:rsidRPr="00D82F37" w:rsidRDefault="00701A48" w:rsidP="00701A48">
      <w:pPr>
        <w:pStyle w:val="ListParagraph"/>
        <w:numPr>
          <w:ilvl w:val="0"/>
          <w:numId w:val="22"/>
        </w:numPr>
        <w:ind w:left="567" w:hanging="425"/>
        <w:rPr>
          <w:lang w:val="en"/>
        </w:rPr>
      </w:pPr>
      <w:r w:rsidRPr="00D82F37">
        <w:rPr>
          <w:lang w:val="en"/>
        </w:rPr>
        <w:t xml:space="preserve">replicate Genuine Diversity of Ownership rules present in </w:t>
      </w:r>
      <w:proofErr w:type="spellStart"/>
      <w:r w:rsidRPr="00D82F37">
        <w:rPr>
          <w:lang w:val="en"/>
        </w:rPr>
        <w:t>SDLT</w:t>
      </w:r>
      <w:proofErr w:type="spellEnd"/>
      <w:r w:rsidRPr="00D82F37">
        <w:rPr>
          <w:lang w:val="en"/>
        </w:rPr>
        <w:t xml:space="preserve"> legislation;</w:t>
      </w:r>
      <w:r>
        <w:rPr>
          <w:lang w:val="en"/>
        </w:rPr>
        <w:t xml:space="preserve"> and</w:t>
      </w:r>
    </w:p>
    <w:p w14:paraId="7C08BEE2" w14:textId="77777777" w:rsidR="00701A48" w:rsidRDefault="00701A48" w:rsidP="00701A48">
      <w:pPr>
        <w:pStyle w:val="ListParagraph"/>
        <w:numPr>
          <w:ilvl w:val="0"/>
          <w:numId w:val="22"/>
        </w:numPr>
        <w:ind w:left="567" w:hanging="425"/>
        <w:rPr>
          <w:lang w:val="en"/>
        </w:rPr>
      </w:pPr>
      <w:r w:rsidRPr="00D82F37">
        <w:rPr>
          <w:lang w:val="en"/>
        </w:rPr>
        <w:t xml:space="preserve">provisions which introduce a mechanism to recover (‘claw back’) from the fund </w:t>
      </w:r>
      <w:proofErr w:type="spellStart"/>
      <w:r w:rsidRPr="00D82F37">
        <w:rPr>
          <w:lang w:val="en"/>
        </w:rPr>
        <w:t>LBTT</w:t>
      </w:r>
      <w:proofErr w:type="spellEnd"/>
      <w:r w:rsidRPr="00D82F37">
        <w:rPr>
          <w:lang w:val="en"/>
        </w:rPr>
        <w:t xml:space="preserve"> where the conditions of the seeding tests have not been met, or when a fund no longer qualifies as being a </w:t>
      </w:r>
      <w:proofErr w:type="spellStart"/>
      <w:r w:rsidRPr="00D82F37">
        <w:rPr>
          <w:lang w:val="en"/>
        </w:rPr>
        <w:t>PAIF</w:t>
      </w:r>
      <w:proofErr w:type="spellEnd"/>
      <w:r w:rsidRPr="00D82F37">
        <w:rPr>
          <w:lang w:val="en"/>
        </w:rPr>
        <w:t xml:space="preserve"> or </w:t>
      </w:r>
      <w:proofErr w:type="spellStart"/>
      <w:r w:rsidRPr="00D82F37">
        <w:rPr>
          <w:lang w:val="en"/>
        </w:rPr>
        <w:t>CoACS</w:t>
      </w:r>
      <w:proofErr w:type="spellEnd"/>
      <w:r w:rsidRPr="00D82F37">
        <w:rPr>
          <w:lang w:val="en"/>
        </w:rPr>
        <w:t xml:space="preserve"> (in the first 3 years of the seeding).  </w:t>
      </w:r>
    </w:p>
    <w:p w14:paraId="0AE461A9" w14:textId="77777777" w:rsidR="00701A48" w:rsidRDefault="00701A48" w:rsidP="00701A48">
      <w:pPr>
        <w:rPr>
          <w:rFonts w:cs="Arial"/>
          <w:szCs w:val="24"/>
          <w:u w:val="single"/>
        </w:rPr>
      </w:pPr>
    </w:p>
    <w:p w14:paraId="768358C6" w14:textId="4ACE12F7" w:rsidR="00701A48" w:rsidRPr="00F20AE6" w:rsidRDefault="00F20AE6" w:rsidP="00F20AE6">
      <w:pPr>
        <w:pStyle w:val="ListParagraph"/>
        <w:numPr>
          <w:ilvl w:val="0"/>
          <w:numId w:val="19"/>
        </w:numPr>
        <w:tabs>
          <w:tab w:val="clear" w:pos="720"/>
          <w:tab w:val="left" w:pos="851"/>
        </w:tabs>
        <w:ind w:left="0" w:firstLine="0"/>
        <w:rPr>
          <w:lang w:val="en"/>
        </w:rPr>
      </w:pPr>
      <w:r w:rsidRPr="00D82F37">
        <w:rPr>
          <w:lang w:val="en"/>
        </w:rPr>
        <w:t xml:space="preserve">The Scottish Government will engage </w:t>
      </w:r>
      <w:r>
        <w:rPr>
          <w:lang w:val="en"/>
        </w:rPr>
        <w:t xml:space="preserve">further </w:t>
      </w:r>
      <w:r w:rsidRPr="00D82F37">
        <w:rPr>
          <w:lang w:val="en"/>
        </w:rPr>
        <w:t>with the investment sector and Revenue Scotland</w:t>
      </w:r>
      <w:r>
        <w:rPr>
          <w:lang w:val="en"/>
        </w:rPr>
        <w:t xml:space="preserve"> at this time on </w:t>
      </w:r>
      <w:r>
        <w:rPr>
          <w:lang w:val="en"/>
        </w:rPr>
        <w:t>with regards to the specific</w:t>
      </w:r>
      <w:r w:rsidRPr="00D82F37">
        <w:rPr>
          <w:lang w:val="en"/>
        </w:rPr>
        <w:t xml:space="preserve"> claw back arrangements.</w:t>
      </w:r>
    </w:p>
    <w:p w14:paraId="7D0C1D21" w14:textId="77777777" w:rsidR="00701A48" w:rsidRPr="00701A48" w:rsidRDefault="00701A48" w:rsidP="00701A48">
      <w:pPr>
        <w:pStyle w:val="ListParagraph"/>
        <w:ind w:left="0"/>
        <w:rPr>
          <w:rFonts w:cs="Arial"/>
          <w:color w:val="000000"/>
          <w:szCs w:val="24"/>
        </w:rPr>
      </w:pPr>
    </w:p>
    <w:p w14:paraId="41D7BA27" w14:textId="43935993" w:rsidR="00E47E28" w:rsidRPr="00E47E28" w:rsidRDefault="00701A48" w:rsidP="00E47E28">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eastAsiaTheme="minorHAnsi"/>
          <w:lang w:val="en"/>
        </w:rPr>
      </w:pPr>
      <w:r w:rsidRPr="00E47E28">
        <w:rPr>
          <w:rFonts w:cs="Arial"/>
          <w:szCs w:val="24"/>
        </w:rPr>
        <w:t>Scotland has many advantages as a place to invest in and for which to domicile funds.</w:t>
      </w:r>
      <w:r w:rsidRPr="00E47E28">
        <w:rPr>
          <w:rFonts w:eastAsiaTheme="minorHAnsi"/>
        </w:rPr>
        <w:t xml:space="preserve"> It has a stable and well respected legal system, a highly developed financial system, excellent global and local connectivity, long term experience of supporting international investment activity, some of the highest performing higher and further education institutions, supportive investor-friendly policies and a growing portfolio of large scale investment opportunities.  </w:t>
      </w:r>
      <w:r w:rsidR="00E47E28" w:rsidRPr="00E47E28">
        <w:rPr>
          <w:rFonts w:eastAsiaTheme="minorHAnsi"/>
          <w:lang w:val="en"/>
        </w:rPr>
        <w:t>These reliefs will help safeguard the investment in, and the development of, Scottish real estate and will further increase the attractiveness of Scotland as an investment destination</w:t>
      </w:r>
      <w:r w:rsidR="00E47E28">
        <w:rPr>
          <w:rFonts w:eastAsiaTheme="minorHAnsi"/>
          <w:lang w:val="en"/>
        </w:rPr>
        <w:t>.</w:t>
      </w:r>
    </w:p>
    <w:p w14:paraId="791EE188" w14:textId="288C47DA" w:rsidR="00701A48" w:rsidRPr="00E47E28" w:rsidRDefault="00701A48" w:rsidP="00E47E28">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jc w:val="left"/>
        <w:rPr>
          <w:rFonts w:cs="Arial"/>
          <w:b/>
          <w:sz w:val="28"/>
          <w:szCs w:val="28"/>
        </w:rPr>
      </w:pPr>
    </w:p>
    <w:p w14:paraId="30BF0F66" w14:textId="49DC9FF4" w:rsidR="00701A48" w:rsidRPr="00701A48" w:rsidRDefault="00B14E20" w:rsidP="00701A48">
      <w:pPr>
        <w:pStyle w:val="ListParagraph"/>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0" w:firstLine="0"/>
        <w:jc w:val="left"/>
        <w:rPr>
          <w:rFonts w:eastAsiaTheme="minorHAnsi" w:cs="Arial"/>
          <w:szCs w:val="24"/>
        </w:rPr>
      </w:pPr>
      <w:r w:rsidRPr="00701A48">
        <w:rPr>
          <w:rFonts w:cs="Arial"/>
          <w:color w:val="000000"/>
          <w:szCs w:val="24"/>
        </w:rPr>
        <w:t>The Scottish Government</w:t>
      </w:r>
      <w:r>
        <w:rPr>
          <w:rFonts w:cs="Arial"/>
          <w:color w:val="000000"/>
          <w:szCs w:val="24"/>
        </w:rPr>
        <w:t xml:space="preserve"> therefore</w:t>
      </w:r>
      <w:r w:rsidRPr="00701A48">
        <w:rPr>
          <w:rFonts w:cs="Arial"/>
          <w:color w:val="000000"/>
          <w:szCs w:val="24"/>
        </w:rPr>
        <w:t xml:space="preserve"> intends to introduce these two reliefs from </w:t>
      </w:r>
      <w:proofErr w:type="spellStart"/>
      <w:r w:rsidRPr="00701A48">
        <w:rPr>
          <w:rFonts w:cs="Arial"/>
          <w:color w:val="000000"/>
          <w:szCs w:val="24"/>
        </w:rPr>
        <w:t>LBTT</w:t>
      </w:r>
      <w:proofErr w:type="spellEnd"/>
      <w:r w:rsidRPr="00701A48">
        <w:rPr>
          <w:rFonts w:cs="Arial"/>
          <w:color w:val="000000"/>
          <w:szCs w:val="24"/>
        </w:rPr>
        <w:t xml:space="preserve"> for property investment funds</w:t>
      </w:r>
      <w:r>
        <w:rPr>
          <w:rFonts w:cs="Arial"/>
          <w:color w:val="000000"/>
          <w:szCs w:val="24"/>
        </w:rPr>
        <w:t xml:space="preserve"> which will be provided for </w:t>
      </w:r>
      <w:r w:rsidR="00701A48" w:rsidRPr="00701A48">
        <w:rPr>
          <w:rFonts w:cs="Arial"/>
          <w:szCs w:val="24"/>
        </w:rPr>
        <w:t xml:space="preserve">through secondary legislation.  </w:t>
      </w:r>
      <w:r w:rsidRPr="00701A48">
        <w:rPr>
          <w:rFonts w:cs="Arial"/>
          <w:color w:val="000000"/>
          <w:szCs w:val="24"/>
        </w:rPr>
        <w:t xml:space="preserve">Once the nature of the UK’s withdrawal from the EU becomes clear - there will be a consultation launched in 2019 on </w:t>
      </w:r>
      <w:r w:rsidR="00701A48" w:rsidRPr="00701A48">
        <w:rPr>
          <w:rFonts w:eastAsiaTheme="minorHAnsi"/>
        </w:rPr>
        <w:t xml:space="preserve">a draft Scottish Statutory Instrument (SSI) that will provide for </w:t>
      </w:r>
      <w:r w:rsidR="00701A48" w:rsidRPr="00701A48">
        <w:rPr>
          <w:rFonts w:eastAsiaTheme="minorHAnsi" w:cs="Arial"/>
          <w:szCs w:val="24"/>
        </w:rPr>
        <w:t xml:space="preserve">properties to be seeded (without an </w:t>
      </w:r>
      <w:proofErr w:type="spellStart"/>
      <w:r w:rsidR="00701A48" w:rsidRPr="00701A48">
        <w:rPr>
          <w:rFonts w:eastAsiaTheme="minorHAnsi" w:cs="Arial"/>
          <w:szCs w:val="24"/>
        </w:rPr>
        <w:t>LBTT</w:t>
      </w:r>
      <w:proofErr w:type="spellEnd"/>
      <w:r w:rsidR="00701A48" w:rsidRPr="00701A48">
        <w:rPr>
          <w:rFonts w:eastAsiaTheme="minorHAnsi" w:cs="Arial"/>
          <w:szCs w:val="24"/>
        </w:rPr>
        <w:t xml:space="preserve"> charge) into a </w:t>
      </w:r>
      <w:proofErr w:type="spellStart"/>
      <w:r w:rsidR="00701A48" w:rsidRPr="00701A48">
        <w:rPr>
          <w:rFonts w:eastAsiaTheme="minorHAnsi" w:cs="Arial"/>
          <w:szCs w:val="24"/>
        </w:rPr>
        <w:t>CoACS</w:t>
      </w:r>
      <w:proofErr w:type="spellEnd"/>
      <w:r w:rsidR="00701A48" w:rsidRPr="00701A48">
        <w:rPr>
          <w:rFonts w:eastAsiaTheme="minorHAnsi" w:cs="Arial"/>
          <w:szCs w:val="24"/>
        </w:rPr>
        <w:t xml:space="preserve"> </w:t>
      </w:r>
      <w:r>
        <w:rPr>
          <w:rFonts w:eastAsiaTheme="minorHAnsi" w:cs="Arial"/>
          <w:szCs w:val="24"/>
        </w:rPr>
        <w:t xml:space="preserve">or </w:t>
      </w:r>
      <w:proofErr w:type="spellStart"/>
      <w:r>
        <w:rPr>
          <w:rFonts w:eastAsiaTheme="minorHAnsi" w:cs="Arial"/>
          <w:szCs w:val="24"/>
        </w:rPr>
        <w:t>PAIF</w:t>
      </w:r>
      <w:proofErr w:type="spellEnd"/>
      <w:r>
        <w:rPr>
          <w:rFonts w:eastAsiaTheme="minorHAnsi" w:cs="Arial"/>
          <w:szCs w:val="24"/>
        </w:rPr>
        <w:t xml:space="preserve"> </w:t>
      </w:r>
      <w:r w:rsidR="00701A48" w:rsidRPr="00701A48">
        <w:rPr>
          <w:rFonts w:eastAsiaTheme="minorHAnsi" w:cs="Arial"/>
          <w:szCs w:val="24"/>
        </w:rPr>
        <w:t xml:space="preserve">and for the trading of units in Co-owned Authorised Contractual schemes to be exempt from an </w:t>
      </w:r>
      <w:proofErr w:type="spellStart"/>
      <w:r w:rsidR="00701A48" w:rsidRPr="00701A48">
        <w:rPr>
          <w:rFonts w:eastAsiaTheme="minorHAnsi" w:cs="Arial"/>
          <w:szCs w:val="24"/>
        </w:rPr>
        <w:t>LBTT</w:t>
      </w:r>
      <w:proofErr w:type="spellEnd"/>
      <w:r w:rsidR="00701A48" w:rsidRPr="00701A48">
        <w:rPr>
          <w:rFonts w:eastAsiaTheme="minorHAnsi" w:cs="Arial"/>
          <w:szCs w:val="24"/>
        </w:rPr>
        <w:t xml:space="preserve"> charge. </w:t>
      </w:r>
    </w:p>
    <w:p w14:paraId="5D623CB8" w14:textId="77777777" w:rsidR="002A637F" w:rsidRDefault="002A637F">
      <w:pPr>
        <w:tabs>
          <w:tab w:val="clear" w:pos="720"/>
          <w:tab w:val="clear" w:pos="1440"/>
          <w:tab w:val="clear" w:pos="2160"/>
          <w:tab w:val="clear" w:pos="2880"/>
          <w:tab w:val="clear" w:pos="4680"/>
          <w:tab w:val="clear" w:pos="5400"/>
          <w:tab w:val="clear" w:pos="9000"/>
        </w:tabs>
        <w:spacing w:line="240" w:lineRule="auto"/>
        <w:jc w:val="left"/>
        <w:rPr>
          <w:rFonts w:cs="Arial"/>
          <w:b/>
          <w:sz w:val="28"/>
          <w:szCs w:val="28"/>
        </w:rPr>
      </w:pPr>
    </w:p>
    <w:p w14:paraId="67C0298D" w14:textId="442F9598" w:rsidR="00737BBD" w:rsidRPr="002A637F" w:rsidRDefault="00737BBD">
      <w:pPr>
        <w:tabs>
          <w:tab w:val="clear" w:pos="720"/>
          <w:tab w:val="clear" w:pos="1440"/>
          <w:tab w:val="clear" w:pos="2160"/>
          <w:tab w:val="clear" w:pos="2880"/>
          <w:tab w:val="clear" w:pos="4680"/>
          <w:tab w:val="clear" w:pos="5400"/>
          <w:tab w:val="clear" w:pos="9000"/>
        </w:tabs>
        <w:spacing w:line="240" w:lineRule="auto"/>
        <w:jc w:val="left"/>
        <w:rPr>
          <w:rFonts w:cs="Arial"/>
          <w:sz w:val="28"/>
          <w:szCs w:val="28"/>
        </w:rPr>
      </w:pPr>
      <w:r w:rsidRPr="002A637F">
        <w:rPr>
          <w:rFonts w:cs="Arial"/>
          <w:sz w:val="28"/>
          <w:szCs w:val="28"/>
        </w:rPr>
        <w:br w:type="page"/>
      </w:r>
    </w:p>
    <w:p w14:paraId="116C0E01" w14:textId="38B736DA" w:rsidR="008811E6" w:rsidRPr="002D3C3F" w:rsidRDefault="008811E6" w:rsidP="002D3C3F">
      <w:pPr>
        <w:shd w:val="clear" w:color="auto" w:fill="FFFFFF"/>
        <w:spacing w:line="240" w:lineRule="auto"/>
        <w:textAlignment w:val="top"/>
        <w:rPr>
          <w:rFonts w:cs="Arial"/>
          <w:bCs/>
          <w:szCs w:val="24"/>
          <w:highlight w:val="yellow"/>
          <w:lang w:eastAsia="en-GB"/>
        </w:rPr>
      </w:pPr>
      <w:r w:rsidRPr="00073518">
        <w:rPr>
          <w:rFonts w:cs="Arial"/>
          <w:b/>
          <w:sz w:val="28"/>
          <w:szCs w:val="28"/>
        </w:rPr>
        <w:lastRenderedPageBreak/>
        <w:t>ANNEX A</w:t>
      </w:r>
    </w:p>
    <w:p w14:paraId="7961FCB9" w14:textId="77777777"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
          <w:sz w:val="28"/>
          <w:szCs w:val="28"/>
        </w:rPr>
      </w:pPr>
    </w:p>
    <w:p w14:paraId="3F294689" w14:textId="5668ECD2" w:rsidR="008811E6"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
          <w:sz w:val="28"/>
          <w:szCs w:val="28"/>
        </w:rPr>
      </w:pPr>
      <w:r w:rsidRPr="00073518">
        <w:rPr>
          <w:rFonts w:cs="Arial"/>
          <w:b/>
          <w:sz w:val="28"/>
          <w:szCs w:val="28"/>
        </w:rPr>
        <w:t>List of Respondents</w:t>
      </w:r>
    </w:p>
    <w:p w14:paraId="12520C55" w14:textId="77777777" w:rsidR="004C68E0" w:rsidRPr="00073518" w:rsidRDefault="004C68E0"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
          <w:sz w:val="28"/>
          <w:szCs w:val="28"/>
        </w:rPr>
      </w:pPr>
    </w:p>
    <w:p w14:paraId="2D83BD07" w14:textId="77777777" w:rsidR="00624E39"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1.</w:t>
      </w:r>
      <w:r w:rsidRPr="00073518">
        <w:rPr>
          <w:rFonts w:cs="Arial"/>
          <w:szCs w:val="24"/>
        </w:rPr>
        <w:tab/>
      </w:r>
      <w:r w:rsidR="00624E39" w:rsidRPr="00073518">
        <w:rPr>
          <w:rFonts w:cs="Arial"/>
          <w:szCs w:val="24"/>
        </w:rPr>
        <w:t xml:space="preserve">Pinsent Masons LLP </w:t>
      </w:r>
    </w:p>
    <w:p w14:paraId="31F7856B" w14:textId="77777777"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 xml:space="preserve">2. </w:t>
      </w:r>
      <w:r w:rsidRPr="00073518">
        <w:rPr>
          <w:rFonts w:cs="Arial"/>
          <w:szCs w:val="24"/>
        </w:rPr>
        <w:tab/>
      </w:r>
      <w:r w:rsidR="00624E39" w:rsidRPr="00073518">
        <w:rPr>
          <w:rFonts w:cs="Arial"/>
          <w:szCs w:val="24"/>
        </w:rPr>
        <w:t>Chartered Institute of Taxation (</w:t>
      </w:r>
      <w:proofErr w:type="spellStart"/>
      <w:r w:rsidR="00624E39" w:rsidRPr="00073518">
        <w:rPr>
          <w:rFonts w:cs="Arial"/>
          <w:szCs w:val="24"/>
        </w:rPr>
        <w:t>CIOT</w:t>
      </w:r>
      <w:proofErr w:type="spellEnd"/>
      <w:r w:rsidR="00624E39" w:rsidRPr="00073518">
        <w:rPr>
          <w:rFonts w:cs="Arial"/>
          <w:szCs w:val="24"/>
        </w:rPr>
        <w:t>)</w:t>
      </w:r>
    </w:p>
    <w:p w14:paraId="7FC62578" w14:textId="77777777"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3.</w:t>
      </w:r>
      <w:r w:rsidRPr="00073518">
        <w:rPr>
          <w:rFonts w:cs="Arial"/>
          <w:szCs w:val="24"/>
        </w:rPr>
        <w:tab/>
      </w:r>
      <w:r w:rsidR="00624E39">
        <w:rPr>
          <w:rFonts w:cs="Arial"/>
          <w:szCs w:val="24"/>
        </w:rPr>
        <w:t>Eversheds Sutherland International LLP</w:t>
      </w:r>
    </w:p>
    <w:p w14:paraId="6F98775C" w14:textId="77777777" w:rsidR="00624E39"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4.</w:t>
      </w:r>
      <w:r w:rsidRPr="00073518">
        <w:rPr>
          <w:rFonts w:cs="Arial"/>
          <w:szCs w:val="24"/>
        </w:rPr>
        <w:tab/>
      </w:r>
      <w:r w:rsidR="00624E39">
        <w:rPr>
          <w:rFonts w:cs="Arial"/>
          <w:szCs w:val="24"/>
        </w:rPr>
        <w:t xml:space="preserve">HSBC Securities Services </w:t>
      </w:r>
    </w:p>
    <w:p w14:paraId="4727ED8C" w14:textId="77777777"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5.</w:t>
      </w:r>
      <w:r w:rsidRPr="00073518">
        <w:rPr>
          <w:rFonts w:cs="Arial"/>
          <w:szCs w:val="24"/>
        </w:rPr>
        <w:tab/>
      </w:r>
      <w:r w:rsidR="00624E39" w:rsidRPr="00073518">
        <w:rPr>
          <w:rFonts w:cs="Arial"/>
          <w:szCs w:val="24"/>
        </w:rPr>
        <w:t>KPMG LLP</w:t>
      </w:r>
    </w:p>
    <w:p w14:paraId="61D0E7B4" w14:textId="77777777"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6.</w:t>
      </w:r>
      <w:r w:rsidRPr="00073518">
        <w:rPr>
          <w:rFonts w:cs="Arial"/>
          <w:szCs w:val="24"/>
        </w:rPr>
        <w:tab/>
      </w:r>
      <w:r w:rsidR="00624E39" w:rsidRPr="00073518">
        <w:rPr>
          <w:rFonts w:cs="Arial"/>
          <w:szCs w:val="24"/>
        </w:rPr>
        <w:t>Ernst &amp; Young LLP</w:t>
      </w:r>
    </w:p>
    <w:p w14:paraId="2655C80C" w14:textId="312DD77A"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7.</w:t>
      </w:r>
      <w:r w:rsidRPr="00073518">
        <w:rPr>
          <w:rFonts w:cs="Arial"/>
          <w:szCs w:val="24"/>
        </w:rPr>
        <w:tab/>
      </w:r>
      <w:r w:rsidR="00FD47B2" w:rsidRPr="004B0BF7">
        <w:rPr>
          <w:rFonts w:cs="Arial"/>
          <w:szCs w:val="24"/>
        </w:rPr>
        <w:t>Organisation wishing to remain anonymous</w:t>
      </w:r>
      <w:r w:rsidR="00624E39" w:rsidRPr="004B0BF7">
        <w:rPr>
          <w:rFonts w:cs="Arial"/>
          <w:szCs w:val="24"/>
        </w:rPr>
        <w:t xml:space="preserve"> </w:t>
      </w:r>
    </w:p>
    <w:p w14:paraId="43E83E2A" w14:textId="77777777"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8.</w:t>
      </w:r>
      <w:r w:rsidRPr="00073518">
        <w:rPr>
          <w:rFonts w:cs="Arial"/>
          <w:szCs w:val="24"/>
        </w:rPr>
        <w:tab/>
      </w:r>
      <w:r w:rsidR="00624E39">
        <w:rPr>
          <w:rFonts w:cs="Arial"/>
          <w:szCs w:val="24"/>
        </w:rPr>
        <w:t>The Association of Real Estate Funds (</w:t>
      </w:r>
      <w:proofErr w:type="spellStart"/>
      <w:r w:rsidR="00624E39">
        <w:rPr>
          <w:rFonts w:cs="Arial"/>
          <w:szCs w:val="24"/>
        </w:rPr>
        <w:t>AREF</w:t>
      </w:r>
      <w:proofErr w:type="spellEnd"/>
      <w:r w:rsidR="00624E39">
        <w:rPr>
          <w:rFonts w:cs="Arial"/>
          <w:szCs w:val="24"/>
        </w:rPr>
        <w:t>)</w:t>
      </w:r>
    </w:p>
    <w:p w14:paraId="3FA5A7E0" w14:textId="77777777" w:rsidR="008811E6" w:rsidRPr="00073518" w:rsidRDefault="008811E6"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073518">
        <w:rPr>
          <w:rFonts w:cs="Arial"/>
          <w:szCs w:val="24"/>
        </w:rPr>
        <w:t>9.</w:t>
      </w:r>
      <w:r w:rsidRPr="00073518">
        <w:rPr>
          <w:rFonts w:cs="Arial"/>
          <w:szCs w:val="24"/>
        </w:rPr>
        <w:tab/>
      </w:r>
      <w:r w:rsidR="00624E39">
        <w:rPr>
          <w:rFonts w:cs="Arial"/>
          <w:szCs w:val="24"/>
        </w:rPr>
        <w:t xml:space="preserve">Scottish Property Federation </w:t>
      </w:r>
    </w:p>
    <w:p w14:paraId="51261550" w14:textId="77777777" w:rsidR="00624E39" w:rsidRDefault="00624E39"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10.</w:t>
      </w:r>
      <w:r>
        <w:rPr>
          <w:rFonts w:cs="Arial"/>
          <w:szCs w:val="24"/>
        </w:rPr>
        <w:tab/>
        <w:t xml:space="preserve">Aberdeen Standard Investments </w:t>
      </w:r>
    </w:p>
    <w:p w14:paraId="3D0C8F34" w14:textId="77777777" w:rsidR="008811E6" w:rsidRPr="00073518" w:rsidRDefault="00624E39"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11.</w:t>
      </w:r>
      <w:r>
        <w:rPr>
          <w:rFonts w:cs="Arial"/>
          <w:szCs w:val="24"/>
        </w:rPr>
        <w:tab/>
        <w:t>The Investment Association (IA)</w:t>
      </w:r>
    </w:p>
    <w:p w14:paraId="25DEA25F" w14:textId="77777777" w:rsidR="008811E6" w:rsidRPr="00073518" w:rsidRDefault="00624E39"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12</w:t>
      </w:r>
      <w:r w:rsidR="008811E6" w:rsidRPr="00073518">
        <w:rPr>
          <w:rFonts w:cs="Arial"/>
          <w:szCs w:val="24"/>
        </w:rPr>
        <w:t>.</w:t>
      </w:r>
      <w:r w:rsidR="008811E6" w:rsidRPr="00073518">
        <w:rPr>
          <w:rFonts w:cs="Arial"/>
          <w:szCs w:val="24"/>
        </w:rPr>
        <w:tab/>
      </w:r>
      <w:r>
        <w:rPr>
          <w:rFonts w:cs="Arial"/>
          <w:szCs w:val="24"/>
        </w:rPr>
        <w:t>Brodies LLP</w:t>
      </w:r>
    </w:p>
    <w:p w14:paraId="6907E03D" w14:textId="77777777" w:rsidR="008811E6" w:rsidRDefault="00624E39"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13</w:t>
      </w:r>
      <w:r w:rsidR="008811E6" w:rsidRPr="00073518">
        <w:rPr>
          <w:rFonts w:cs="Arial"/>
          <w:szCs w:val="24"/>
        </w:rPr>
        <w:t>.</w:t>
      </w:r>
      <w:r w:rsidR="008811E6" w:rsidRPr="00073518">
        <w:rPr>
          <w:rFonts w:cs="Arial"/>
          <w:szCs w:val="24"/>
        </w:rPr>
        <w:tab/>
      </w:r>
      <w:r>
        <w:rPr>
          <w:rFonts w:cs="Arial"/>
          <w:szCs w:val="24"/>
        </w:rPr>
        <w:t>Law Society of Scotland</w:t>
      </w:r>
    </w:p>
    <w:p w14:paraId="6E327A2B" w14:textId="77777777" w:rsidR="00624E39" w:rsidRDefault="00624E39" w:rsidP="008811E6">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t>14.</w:t>
      </w:r>
      <w:r>
        <w:rPr>
          <w:rFonts w:cs="Arial"/>
          <w:szCs w:val="24"/>
        </w:rPr>
        <w:tab/>
      </w:r>
      <w:proofErr w:type="spellStart"/>
      <w:r>
        <w:rPr>
          <w:rFonts w:cs="Arial"/>
          <w:szCs w:val="24"/>
        </w:rPr>
        <w:t>ICAS</w:t>
      </w:r>
      <w:proofErr w:type="spellEnd"/>
    </w:p>
    <w:p w14:paraId="77F1C4CA" w14:textId="67C4EF57" w:rsidR="00E208EF" w:rsidRDefault="00624E39" w:rsidP="004C68E0">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b/>
          <w:sz w:val="28"/>
          <w:szCs w:val="28"/>
        </w:rPr>
      </w:pPr>
      <w:r>
        <w:rPr>
          <w:rFonts w:cs="Arial"/>
          <w:szCs w:val="24"/>
        </w:rPr>
        <w:t>15.</w:t>
      </w:r>
      <w:r>
        <w:rPr>
          <w:rFonts w:cs="Arial"/>
          <w:szCs w:val="24"/>
        </w:rPr>
        <w:tab/>
        <w:t>Deloitte LLP</w:t>
      </w:r>
      <w:r w:rsidR="00E208EF">
        <w:rPr>
          <w:rFonts w:cs="Arial"/>
          <w:b/>
          <w:sz w:val="28"/>
          <w:szCs w:val="28"/>
        </w:rPr>
        <w:br w:type="page"/>
      </w:r>
    </w:p>
    <w:p w14:paraId="28B49D95" w14:textId="32FEE707" w:rsidR="00C321EE" w:rsidRPr="002D3C3F" w:rsidRDefault="00C321EE" w:rsidP="00C321EE">
      <w:pPr>
        <w:shd w:val="clear" w:color="auto" w:fill="FFFFFF"/>
        <w:spacing w:line="240" w:lineRule="auto"/>
        <w:textAlignment w:val="top"/>
        <w:rPr>
          <w:rFonts w:cs="Arial"/>
          <w:bCs/>
          <w:szCs w:val="24"/>
          <w:highlight w:val="yellow"/>
          <w:lang w:eastAsia="en-GB"/>
        </w:rPr>
      </w:pPr>
      <w:r>
        <w:rPr>
          <w:rFonts w:cs="Arial"/>
          <w:b/>
          <w:sz w:val="28"/>
          <w:szCs w:val="28"/>
        </w:rPr>
        <w:lastRenderedPageBreak/>
        <w:t>ANNEX B</w:t>
      </w:r>
    </w:p>
    <w:p w14:paraId="340E3339" w14:textId="77777777" w:rsidR="00C321EE" w:rsidRDefault="00C321EE" w:rsidP="00C321EE"/>
    <w:p w14:paraId="144C6D1A"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240" w:lineRule="auto"/>
        <w:jc w:val="center"/>
        <w:rPr>
          <w:rFonts w:cs="Arial"/>
          <w:b/>
          <w:color w:val="000000" w:themeColor="text1"/>
          <w:szCs w:val="24"/>
          <w:u w:val="single"/>
        </w:rPr>
      </w:pPr>
      <w:r w:rsidRPr="00E208EF">
        <w:rPr>
          <w:rFonts w:cs="Arial"/>
          <w:b/>
          <w:color w:val="000000" w:themeColor="text1"/>
          <w:szCs w:val="24"/>
          <w:u w:val="single"/>
        </w:rPr>
        <w:t xml:space="preserve">Discussion on a Potential Seeding Relief for </w:t>
      </w:r>
      <w:proofErr w:type="spellStart"/>
      <w:r w:rsidRPr="00E208EF">
        <w:rPr>
          <w:rFonts w:cs="Arial"/>
          <w:b/>
          <w:color w:val="000000" w:themeColor="text1"/>
          <w:szCs w:val="24"/>
          <w:u w:val="single"/>
        </w:rPr>
        <w:t>PAIFS</w:t>
      </w:r>
      <w:proofErr w:type="spellEnd"/>
      <w:r w:rsidRPr="00E208EF">
        <w:rPr>
          <w:rFonts w:cs="Arial"/>
          <w:b/>
          <w:color w:val="000000" w:themeColor="text1"/>
          <w:szCs w:val="24"/>
          <w:u w:val="single"/>
        </w:rPr>
        <w:t xml:space="preserve"> and </w:t>
      </w:r>
      <w:proofErr w:type="spellStart"/>
      <w:r w:rsidRPr="00E208EF">
        <w:rPr>
          <w:rFonts w:cs="Arial"/>
          <w:b/>
          <w:color w:val="000000" w:themeColor="text1"/>
          <w:szCs w:val="24"/>
          <w:u w:val="single"/>
        </w:rPr>
        <w:t>CoACS</w:t>
      </w:r>
      <w:proofErr w:type="spellEnd"/>
    </w:p>
    <w:p w14:paraId="53024268"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240" w:lineRule="auto"/>
        <w:jc w:val="center"/>
        <w:rPr>
          <w:rFonts w:cs="Arial"/>
          <w:b/>
          <w:color w:val="000000" w:themeColor="text1"/>
          <w:szCs w:val="24"/>
        </w:rPr>
      </w:pPr>
      <w:r w:rsidRPr="00E208EF">
        <w:rPr>
          <w:rFonts w:cs="Arial"/>
          <w:b/>
          <w:color w:val="000000" w:themeColor="text1"/>
          <w:szCs w:val="24"/>
        </w:rPr>
        <w:t>&amp;</w:t>
      </w:r>
    </w:p>
    <w:p w14:paraId="18BA5FF5"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240" w:lineRule="auto"/>
        <w:jc w:val="center"/>
        <w:rPr>
          <w:rFonts w:cs="Arial"/>
          <w:b/>
          <w:color w:val="000000" w:themeColor="text1"/>
          <w:szCs w:val="24"/>
          <w:u w:val="single"/>
        </w:rPr>
      </w:pPr>
      <w:proofErr w:type="spellStart"/>
      <w:r w:rsidRPr="00E208EF">
        <w:rPr>
          <w:rFonts w:cs="Arial"/>
          <w:b/>
          <w:color w:val="000000" w:themeColor="text1"/>
          <w:szCs w:val="24"/>
          <w:u w:val="single"/>
        </w:rPr>
        <w:t>LBTT</w:t>
      </w:r>
      <w:proofErr w:type="spellEnd"/>
      <w:r w:rsidRPr="00E208EF">
        <w:rPr>
          <w:rFonts w:cs="Arial"/>
          <w:b/>
          <w:color w:val="000000" w:themeColor="text1"/>
          <w:szCs w:val="24"/>
          <w:u w:val="single"/>
        </w:rPr>
        <w:t xml:space="preserve"> Treatment of </w:t>
      </w:r>
      <w:proofErr w:type="spellStart"/>
      <w:r w:rsidRPr="00E208EF">
        <w:rPr>
          <w:rFonts w:cs="Arial"/>
          <w:b/>
          <w:color w:val="000000" w:themeColor="text1"/>
          <w:szCs w:val="24"/>
          <w:u w:val="single"/>
        </w:rPr>
        <w:t>CoACS</w:t>
      </w:r>
      <w:proofErr w:type="spellEnd"/>
    </w:p>
    <w:p w14:paraId="40FFFB1E"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240" w:lineRule="auto"/>
        <w:jc w:val="left"/>
        <w:rPr>
          <w:rFonts w:cs="Arial"/>
          <w:color w:val="000000" w:themeColor="text1"/>
          <w:szCs w:val="24"/>
        </w:rPr>
      </w:pPr>
      <w:r w:rsidRPr="00E208EF">
        <w:rPr>
          <w:rFonts w:cs="Arial"/>
          <w:color w:val="000000" w:themeColor="text1"/>
          <w:szCs w:val="24"/>
        </w:rPr>
        <w:t xml:space="preserve"> </w:t>
      </w:r>
    </w:p>
    <w:p w14:paraId="375181D2"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240" w:lineRule="auto"/>
        <w:jc w:val="center"/>
        <w:rPr>
          <w:rFonts w:cs="Arial"/>
          <w:color w:val="000000" w:themeColor="text1"/>
          <w:szCs w:val="24"/>
        </w:rPr>
      </w:pPr>
      <w:r w:rsidRPr="00E208EF">
        <w:rPr>
          <w:rFonts w:cs="Arial"/>
          <w:color w:val="000000" w:themeColor="text1"/>
          <w:szCs w:val="24"/>
        </w:rPr>
        <w:t>Meeting of Wednesday 5</w:t>
      </w:r>
      <w:r w:rsidRPr="00E208EF">
        <w:rPr>
          <w:rFonts w:cs="Arial"/>
          <w:color w:val="000000" w:themeColor="text1"/>
          <w:szCs w:val="24"/>
          <w:vertAlign w:val="superscript"/>
        </w:rPr>
        <w:t>th</w:t>
      </w:r>
      <w:r w:rsidRPr="00E208EF">
        <w:rPr>
          <w:rFonts w:cs="Arial"/>
          <w:color w:val="000000" w:themeColor="text1"/>
          <w:szCs w:val="24"/>
        </w:rPr>
        <w:t xml:space="preserve"> September 2018 (13:30 – 15:30)</w:t>
      </w:r>
    </w:p>
    <w:p w14:paraId="4CEE198C"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jc w:val="center"/>
        <w:textAlignment w:val="top"/>
        <w:rPr>
          <w:rFonts w:cs="Arial"/>
          <w:color w:val="000000" w:themeColor="text1"/>
          <w:szCs w:val="24"/>
        </w:rPr>
      </w:pPr>
      <w:r w:rsidRPr="00E208EF">
        <w:rPr>
          <w:rFonts w:cs="Arial"/>
          <w:color w:val="000000" w:themeColor="text1"/>
          <w:szCs w:val="24"/>
        </w:rPr>
        <w:t>Conference Room 2, Victoria Quay, Scottish Government, Edinburgh</w:t>
      </w:r>
    </w:p>
    <w:p w14:paraId="6556FBE7"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jc w:val="left"/>
        <w:textAlignment w:val="top"/>
        <w:rPr>
          <w:rFonts w:cs="Arial"/>
          <w:b/>
          <w:color w:val="000000" w:themeColor="text1"/>
          <w:szCs w:val="24"/>
        </w:rPr>
      </w:pPr>
    </w:p>
    <w:p w14:paraId="550ACA46"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jc w:val="left"/>
        <w:textAlignment w:val="top"/>
        <w:rPr>
          <w:rFonts w:cs="Arial"/>
          <w:b/>
          <w:color w:val="000000" w:themeColor="text1"/>
          <w:szCs w:val="24"/>
          <w:u w:val="single"/>
          <w:lang w:val="en" w:eastAsia="en-GB"/>
        </w:rPr>
      </w:pPr>
      <w:r w:rsidRPr="00E208EF">
        <w:rPr>
          <w:rFonts w:cs="Arial"/>
          <w:b/>
          <w:color w:val="000000" w:themeColor="text1"/>
          <w:szCs w:val="24"/>
          <w:u w:val="single"/>
          <w:lang w:val="en" w:eastAsia="en-GB"/>
        </w:rPr>
        <w:t>Attendees</w:t>
      </w:r>
    </w:p>
    <w:p w14:paraId="19FEB4DA"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jc w:val="left"/>
        <w:textAlignment w:val="top"/>
        <w:rPr>
          <w:rFonts w:cs="Arial"/>
          <w:b/>
          <w:color w:val="000000" w:themeColor="text1"/>
          <w:szCs w:val="24"/>
          <w:lang w:val="en" w:eastAsia="en-GB"/>
        </w:rPr>
      </w:pPr>
    </w:p>
    <w:p w14:paraId="5B6CC55E"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Joanne Walker – </w:t>
      </w:r>
      <w:proofErr w:type="spellStart"/>
      <w:r w:rsidRPr="00E208EF">
        <w:rPr>
          <w:rFonts w:cs="Arial"/>
          <w:color w:val="000000" w:themeColor="text1"/>
          <w:szCs w:val="24"/>
          <w:lang w:val="en" w:eastAsia="en-GB"/>
        </w:rPr>
        <w:t>CIOT</w:t>
      </w:r>
      <w:proofErr w:type="spellEnd"/>
      <w:r w:rsidRPr="00E208EF">
        <w:rPr>
          <w:rFonts w:cs="Arial"/>
          <w:color w:val="000000" w:themeColor="text1"/>
          <w:szCs w:val="24"/>
          <w:lang w:val="en" w:eastAsia="en-GB"/>
        </w:rPr>
        <w:t xml:space="preserve">, John </w:t>
      </w:r>
      <w:proofErr w:type="spellStart"/>
      <w:r w:rsidRPr="00E208EF">
        <w:rPr>
          <w:rFonts w:cs="Arial"/>
          <w:color w:val="000000" w:themeColor="text1"/>
          <w:szCs w:val="24"/>
          <w:lang w:val="en" w:eastAsia="en-GB"/>
        </w:rPr>
        <w:t>Buckeridge</w:t>
      </w:r>
      <w:proofErr w:type="spellEnd"/>
      <w:r w:rsidRPr="00E208EF">
        <w:rPr>
          <w:rFonts w:cs="Arial"/>
          <w:color w:val="000000" w:themeColor="text1"/>
          <w:szCs w:val="24"/>
          <w:lang w:val="en" w:eastAsia="en-GB"/>
        </w:rPr>
        <w:t xml:space="preserve"> – Eversheds Sutherland International LLP,  Sinead Stocks – HSBC, Gordon Gray – KPMG LLP, Gordon Foster – </w:t>
      </w:r>
      <w:proofErr w:type="spellStart"/>
      <w:r w:rsidRPr="00E208EF">
        <w:rPr>
          <w:rFonts w:cs="Arial"/>
          <w:color w:val="000000" w:themeColor="text1"/>
          <w:szCs w:val="24"/>
          <w:lang w:val="en" w:eastAsia="en-GB"/>
        </w:rPr>
        <w:t>E&amp;Y</w:t>
      </w:r>
      <w:proofErr w:type="spellEnd"/>
      <w:r w:rsidRPr="00E208EF">
        <w:rPr>
          <w:rFonts w:cs="Arial"/>
          <w:color w:val="000000" w:themeColor="text1"/>
          <w:szCs w:val="24"/>
          <w:lang w:val="en" w:eastAsia="en-GB"/>
        </w:rPr>
        <w:t xml:space="preserve"> LLP, Graham Miller – Royal London, Bob Langridge – Brodies LLP, Bryan Flint – </w:t>
      </w:r>
      <w:proofErr w:type="spellStart"/>
      <w:r w:rsidRPr="00E208EF">
        <w:rPr>
          <w:rFonts w:cs="Arial"/>
          <w:color w:val="000000" w:themeColor="text1"/>
          <w:szCs w:val="24"/>
          <w:lang w:val="en" w:eastAsia="en-GB"/>
        </w:rPr>
        <w:t>ICAS</w:t>
      </w:r>
      <w:proofErr w:type="spellEnd"/>
      <w:r w:rsidRPr="00E208EF">
        <w:rPr>
          <w:rFonts w:cs="Arial"/>
          <w:color w:val="000000" w:themeColor="text1"/>
          <w:szCs w:val="24"/>
          <w:lang w:val="en" w:eastAsia="en-GB"/>
        </w:rPr>
        <w:t xml:space="preserve">, Neil Sanford – Aberdeen Standard, Jim </w:t>
      </w:r>
      <w:proofErr w:type="spellStart"/>
      <w:r w:rsidRPr="00E208EF">
        <w:rPr>
          <w:rFonts w:cs="Arial"/>
          <w:color w:val="000000" w:themeColor="text1"/>
          <w:szCs w:val="24"/>
          <w:lang w:val="en" w:eastAsia="en-GB"/>
        </w:rPr>
        <w:t>Hillan</w:t>
      </w:r>
      <w:proofErr w:type="spellEnd"/>
      <w:r w:rsidRPr="00E208EF">
        <w:rPr>
          <w:rFonts w:cs="Arial"/>
          <w:color w:val="000000" w:themeColor="text1"/>
          <w:szCs w:val="24"/>
          <w:lang w:val="en" w:eastAsia="en-GB"/>
        </w:rPr>
        <w:t xml:space="preserve"> – </w:t>
      </w:r>
      <w:proofErr w:type="spellStart"/>
      <w:r w:rsidRPr="00E208EF">
        <w:rPr>
          <w:rFonts w:cs="Arial"/>
          <w:color w:val="000000" w:themeColor="text1"/>
          <w:szCs w:val="24"/>
          <w:lang w:val="en" w:eastAsia="en-GB"/>
        </w:rPr>
        <w:t>LSS</w:t>
      </w:r>
      <w:proofErr w:type="spellEnd"/>
      <w:r w:rsidRPr="00E208EF">
        <w:rPr>
          <w:rFonts w:cs="Arial"/>
          <w:color w:val="000000" w:themeColor="text1"/>
          <w:szCs w:val="24"/>
          <w:lang w:val="en" w:eastAsia="en-GB"/>
        </w:rPr>
        <w:t xml:space="preserve">, Isobel </w:t>
      </w:r>
      <w:proofErr w:type="spellStart"/>
      <w:r w:rsidRPr="00E208EF">
        <w:rPr>
          <w:rFonts w:cs="Arial"/>
          <w:color w:val="000000" w:themeColor="text1"/>
          <w:szCs w:val="24"/>
          <w:lang w:val="en" w:eastAsia="en-GB"/>
        </w:rPr>
        <w:t>D’Inverno</w:t>
      </w:r>
      <w:proofErr w:type="spellEnd"/>
      <w:r w:rsidRPr="00E208EF">
        <w:rPr>
          <w:rFonts w:cs="Arial"/>
          <w:color w:val="000000" w:themeColor="text1"/>
          <w:szCs w:val="24"/>
          <w:lang w:val="en" w:eastAsia="en-GB"/>
        </w:rPr>
        <w:t xml:space="preserve"> – </w:t>
      </w:r>
      <w:proofErr w:type="spellStart"/>
      <w:r w:rsidRPr="00E208EF">
        <w:rPr>
          <w:rFonts w:cs="Arial"/>
          <w:color w:val="000000" w:themeColor="text1"/>
          <w:szCs w:val="24"/>
          <w:lang w:val="en" w:eastAsia="en-GB"/>
        </w:rPr>
        <w:t>LSS</w:t>
      </w:r>
      <w:proofErr w:type="spellEnd"/>
      <w:r w:rsidRPr="00E208EF">
        <w:rPr>
          <w:rFonts w:cs="Arial"/>
          <w:color w:val="000000" w:themeColor="text1"/>
          <w:szCs w:val="24"/>
          <w:lang w:val="en" w:eastAsia="en-GB"/>
        </w:rPr>
        <w:t xml:space="preserve">, Rupert Seggins – SFC, Claire Murdoch – SFC, Avril Campbell – RS, Martin Davidson – RS, David </w:t>
      </w:r>
      <w:proofErr w:type="spellStart"/>
      <w:r w:rsidRPr="00E208EF">
        <w:rPr>
          <w:rFonts w:cs="Arial"/>
          <w:color w:val="000000" w:themeColor="text1"/>
          <w:szCs w:val="24"/>
          <w:lang w:val="en" w:eastAsia="en-GB"/>
        </w:rPr>
        <w:t>Melhuish</w:t>
      </w:r>
      <w:proofErr w:type="spellEnd"/>
      <w:r w:rsidRPr="00E208EF">
        <w:rPr>
          <w:rFonts w:cs="Arial"/>
          <w:color w:val="000000" w:themeColor="text1"/>
          <w:szCs w:val="24"/>
          <w:lang w:val="en" w:eastAsia="en-GB"/>
        </w:rPr>
        <w:t xml:space="preserve"> – SPF, Ewan Cameron-Nielsen - SG, David Kerrouchi - SG, Ian Goldsmith - SG</w:t>
      </w:r>
    </w:p>
    <w:p w14:paraId="76DC8D7F"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jc w:val="left"/>
        <w:textAlignment w:val="top"/>
        <w:rPr>
          <w:rFonts w:cs="Arial"/>
          <w:b/>
          <w:color w:val="000000" w:themeColor="text1"/>
          <w:szCs w:val="24"/>
          <w:lang w:val="en" w:eastAsia="en-GB"/>
        </w:rPr>
      </w:pPr>
    </w:p>
    <w:p w14:paraId="062D45FD"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after="200" w:line="276" w:lineRule="auto"/>
        <w:jc w:val="left"/>
        <w:rPr>
          <w:rFonts w:cs="Arial"/>
          <w:color w:val="000000" w:themeColor="text1"/>
          <w:szCs w:val="24"/>
        </w:rPr>
      </w:pPr>
      <w:r w:rsidRPr="00E208EF">
        <w:rPr>
          <w:rFonts w:cs="Arial"/>
          <w:b/>
          <w:color w:val="000000" w:themeColor="text1"/>
          <w:szCs w:val="24"/>
          <w:u w:val="single"/>
          <w:lang w:val="en" w:eastAsia="en-GB"/>
        </w:rPr>
        <w:t>Welcome and introduction</w:t>
      </w:r>
    </w:p>
    <w:p w14:paraId="11E2B056"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after="200" w:line="276" w:lineRule="auto"/>
        <w:jc w:val="left"/>
        <w:rPr>
          <w:rFonts w:cs="Arial"/>
          <w:color w:val="000000" w:themeColor="text1"/>
          <w:szCs w:val="24"/>
          <w:u w:val="single"/>
          <w:lang w:val="en" w:eastAsia="en-GB"/>
        </w:rPr>
      </w:pPr>
      <w:r w:rsidRPr="00E208EF">
        <w:rPr>
          <w:rFonts w:cs="Arial"/>
          <w:color w:val="000000" w:themeColor="text1"/>
          <w:szCs w:val="24"/>
        </w:rPr>
        <w:t>1.</w:t>
      </w:r>
      <w:r w:rsidRPr="00E208EF">
        <w:rPr>
          <w:rFonts w:cs="Arial"/>
          <w:color w:val="000000" w:themeColor="text1"/>
          <w:szCs w:val="24"/>
        </w:rPr>
        <w:tab/>
        <w:t xml:space="preserve">Officials welcomed attendees to the discussion on the possible introduction of an </w:t>
      </w:r>
      <w:proofErr w:type="spellStart"/>
      <w:r w:rsidRPr="00E208EF">
        <w:rPr>
          <w:rFonts w:cs="Arial"/>
          <w:color w:val="000000" w:themeColor="text1"/>
          <w:szCs w:val="24"/>
        </w:rPr>
        <w:t>LBTT</w:t>
      </w:r>
      <w:proofErr w:type="spellEnd"/>
      <w:r w:rsidRPr="00E208EF">
        <w:rPr>
          <w:rFonts w:cs="Arial"/>
          <w:color w:val="000000" w:themeColor="text1"/>
          <w:szCs w:val="24"/>
        </w:rPr>
        <w:t xml:space="preserve"> ‘seeding relief’ for </w:t>
      </w:r>
      <w:proofErr w:type="spellStart"/>
      <w:r w:rsidRPr="00E208EF">
        <w:rPr>
          <w:rFonts w:cs="Arial"/>
          <w:color w:val="000000" w:themeColor="text1"/>
          <w:szCs w:val="24"/>
        </w:rPr>
        <w:t>PIAFS</w:t>
      </w:r>
      <w:proofErr w:type="spellEnd"/>
      <w:r w:rsidRPr="00E208EF">
        <w:rPr>
          <w:rFonts w:cs="Arial"/>
          <w:color w:val="000000" w:themeColor="text1"/>
          <w:szCs w:val="24"/>
        </w:rPr>
        <w:t xml:space="preserve"> and </w:t>
      </w:r>
      <w:proofErr w:type="spellStart"/>
      <w:r w:rsidRPr="00E208EF">
        <w:rPr>
          <w:rFonts w:cs="Arial"/>
          <w:color w:val="000000" w:themeColor="text1"/>
          <w:szCs w:val="24"/>
        </w:rPr>
        <w:t>CoACS</w:t>
      </w:r>
      <w:proofErr w:type="spellEnd"/>
      <w:r w:rsidRPr="00E208EF">
        <w:rPr>
          <w:rFonts w:cs="Arial"/>
          <w:color w:val="000000" w:themeColor="text1"/>
          <w:szCs w:val="24"/>
        </w:rPr>
        <w:t xml:space="preserve">.  Delegates were thanked for their contributions to the consultation document and for their continued engagement with officials in the development of the devolved taxes.  The importance of following Adams Smiths principles and the value collaborative working and discussion with stakeholders has brought to policy development was reiterated.  A brief outline of the agenda circulated points was then provided attendees to give context to the following conversion. </w:t>
      </w:r>
    </w:p>
    <w:p w14:paraId="40939A46"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after="200" w:line="276" w:lineRule="auto"/>
        <w:jc w:val="left"/>
        <w:rPr>
          <w:rFonts w:cs="Arial"/>
          <w:b/>
          <w:color w:val="000000" w:themeColor="text1"/>
          <w:szCs w:val="24"/>
          <w:u w:val="single"/>
          <w:lang w:val="en" w:eastAsia="en-GB"/>
        </w:rPr>
      </w:pPr>
      <w:r w:rsidRPr="00E208EF">
        <w:rPr>
          <w:rFonts w:cs="Arial"/>
          <w:b/>
          <w:color w:val="000000" w:themeColor="text1"/>
          <w:szCs w:val="24"/>
          <w:u w:val="single"/>
          <w:lang w:val="en" w:eastAsia="en-GB"/>
        </w:rPr>
        <w:t>Seeding Relief</w:t>
      </w:r>
    </w:p>
    <w:p w14:paraId="799250C2" w14:textId="77777777" w:rsidR="00E208EF" w:rsidRPr="00E208EF" w:rsidRDefault="00E208EF" w:rsidP="00E208EF">
      <w:pPr>
        <w:numPr>
          <w:ilvl w:val="0"/>
          <w:numId w:val="14"/>
        </w:numPr>
        <w:tabs>
          <w:tab w:val="clear" w:pos="720"/>
          <w:tab w:val="clear" w:pos="1440"/>
          <w:tab w:val="clear" w:pos="2160"/>
          <w:tab w:val="clear" w:pos="2880"/>
          <w:tab w:val="clear" w:pos="4680"/>
          <w:tab w:val="clear" w:pos="5400"/>
          <w:tab w:val="clear" w:pos="9000"/>
        </w:tabs>
        <w:spacing w:after="200" w:line="315" w:lineRule="atLeast"/>
        <w:ind w:left="0" w:firstLine="0"/>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Officials sought views as to the  relevance of the relief for investment fund activity, the  Scottish property market and Scottish economy. Further detail was also sought on the type of funds which might have an interest in making use of a seeding relief were it to be available. During discussion, attendees  made the following points: </w:t>
      </w:r>
    </w:p>
    <w:p w14:paraId="7D3120CD" w14:textId="6E5EFB31" w:rsidR="00E208EF" w:rsidRPr="00E208EF" w:rsidRDefault="00E208EF" w:rsidP="00E208EF">
      <w:pPr>
        <w:numPr>
          <w:ilvl w:val="0"/>
          <w:numId w:val="13"/>
        </w:num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The </w:t>
      </w:r>
      <w:r w:rsidR="00D163AE" w:rsidRPr="00E208EF">
        <w:rPr>
          <w:rFonts w:cs="Arial"/>
          <w:color w:val="000000" w:themeColor="text1"/>
          <w:szCs w:val="24"/>
          <w:lang w:val="en" w:eastAsia="en-GB"/>
        </w:rPr>
        <w:t>behavior</w:t>
      </w:r>
      <w:r w:rsidRPr="00E208EF">
        <w:rPr>
          <w:rFonts w:cs="Arial"/>
          <w:color w:val="000000" w:themeColor="text1"/>
          <w:szCs w:val="24"/>
          <w:lang w:val="en" w:eastAsia="en-GB"/>
        </w:rPr>
        <w:t xml:space="preserve"> of fund managers is governed by the need to </w:t>
      </w:r>
      <w:proofErr w:type="spellStart"/>
      <w:r w:rsidRPr="00E208EF">
        <w:rPr>
          <w:rFonts w:cs="Arial"/>
          <w:color w:val="000000" w:themeColor="text1"/>
          <w:szCs w:val="24"/>
          <w:lang w:val="en" w:eastAsia="en-GB"/>
        </w:rPr>
        <w:t>maximise</w:t>
      </w:r>
      <w:proofErr w:type="spellEnd"/>
      <w:r w:rsidRPr="00E208EF">
        <w:rPr>
          <w:rFonts w:cs="Arial"/>
          <w:color w:val="000000" w:themeColor="text1"/>
          <w:szCs w:val="24"/>
          <w:lang w:val="en" w:eastAsia="en-GB"/>
        </w:rPr>
        <w:t xml:space="preserve"> investment returns for their clients. Any tax which might be due in relation to a transaction is therefore a relevant consideration. </w:t>
      </w:r>
    </w:p>
    <w:p w14:paraId="60C46244" w14:textId="77777777" w:rsidR="00E208EF" w:rsidRPr="00E208EF" w:rsidRDefault="00E208EF" w:rsidP="00E208EF">
      <w:pPr>
        <w:numPr>
          <w:ilvl w:val="0"/>
          <w:numId w:val="11"/>
        </w:numPr>
        <w:tabs>
          <w:tab w:val="clear" w:pos="720"/>
          <w:tab w:val="clear" w:pos="1440"/>
          <w:tab w:val="clear" w:pos="2160"/>
          <w:tab w:val="clear" w:pos="2880"/>
          <w:tab w:val="clear" w:pos="4680"/>
          <w:tab w:val="clear" w:pos="5400"/>
          <w:tab w:val="clear" w:pos="9000"/>
        </w:tabs>
        <w:spacing w:after="200" w:line="315" w:lineRule="atLeast"/>
        <w:ind w:firstLine="0"/>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A range of investment funds would have a potential interest in seeding properties into a </w:t>
      </w:r>
      <w:proofErr w:type="spellStart"/>
      <w:r w:rsidRPr="00E208EF">
        <w:rPr>
          <w:rFonts w:cs="Arial"/>
          <w:color w:val="000000" w:themeColor="text1"/>
          <w:szCs w:val="24"/>
          <w:lang w:val="en" w:eastAsia="en-GB"/>
        </w:rPr>
        <w:t>PAIF</w:t>
      </w:r>
      <w:proofErr w:type="spellEnd"/>
      <w:r w:rsidRPr="00E208EF">
        <w:rPr>
          <w:rFonts w:cs="Arial"/>
          <w:color w:val="000000" w:themeColor="text1"/>
          <w:szCs w:val="24"/>
          <w:lang w:val="en" w:eastAsia="en-GB"/>
        </w:rPr>
        <w:t xml:space="preserve"> or </w:t>
      </w:r>
      <w:proofErr w:type="spellStart"/>
      <w:r w:rsidRPr="00E208EF">
        <w:rPr>
          <w:rFonts w:cs="Arial"/>
          <w:color w:val="000000" w:themeColor="text1"/>
          <w:szCs w:val="24"/>
          <w:lang w:val="en" w:eastAsia="en-GB"/>
        </w:rPr>
        <w:t>COACS</w:t>
      </w:r>
      <w:proofErr w:type="spellEnd"/>
      <w:r w:rsidRPr="00E208EF">
        <w:rPr>
          <w:rFonts w:cs="Arial"/>
          <w:color w:val="000000" w:themeColor="text1"/>
          <w:szCs w:val="24"/>
          <w:lang w:val="en" w:eastAsia="en-GB"/>
        </w:rPr>
        <w:t xml:space="preserve">, including: life assurance with profit funds, which are no longer commercially attractive to new investors and UK and non-UK occupational pension funds. </w:t>
      </w:r>
    </w:p>
    <w:p w14:paraId="68FAA60A" w14:textId="77777777" w:rsidR="00E208EF" w:rsidRPr="00E208EF" w:rsidRDefault="00E208EF" w:rsidP="00E208EF">
      <w:pPr>
        <w:numPr>
          <w:ilvl w:val="0"/>
          <w:numId w:val="11"/>
        </w:numPr>
        <w:tabs>
          <w:tab w:val="clear" w:pos="720"/>
          <w:tab w:val="clear" w:pos="1440"/>
          <w:tab w:val="clear" w:pos="2160"/>
          <w:tab w:val="clear" w:pos="2880"/>
          <w:tab w:val="clear" w:pos="4680"/>
          <w:tab w:val="clear" w:pos="5400"/>
          <w:tab w:val="clear" w:pos="9000"/>
        </w:tabs>
        <w:spacing w:after="200" w:line="315" w:lineRule="atLeast"/>
        <w:ind w:firstLine="0"/>
        <w:jc w:val="left"/>
        <w:textAlignment w:val="top"/>
        <w:rPr>
          <w:rFonts w:cs="Arial"/>
          <w:color w:val="000000" w:themeColor="text1"/>
          <w:szCs w:val="24"/>
          <w:lang w:val="en" w:eastAsia="en-GB"/>
        </w:rPr>
      </w:pPr>
      <w:r w:rsidRPr="00E208EF">
        <w:rPr>
          <w:rFonts w:cs="Arial"/>
          <w:color w:val="000000" w:themeColor="text1"/>
          <w:szCs w:val="24"/>
          <w:lang w:val="en" w:eastAsia="en-GB"/>
        </w:rPr>
        <w:lastRenderedPageBreak/>
        <w:t xml:space="preserve">With regard to pension funds, it was noted that various consortiums of local authority pension funds in England and Wales are currently looking to pool assets, including property holdings, although with continued independent management (given differing sizes). The aim is to drive down management costs and create greater efficiency. Not all have decided on the form of a collective holding for property, but </w:t>
      </w:r>
      <w:proofErr w:type="spellStart"/>
      <w:r w:rsidRPr="00E208EF">
        <w:rPr>
          <w:rFonts w:cs="Arial"/>
          <w:color w:val="000000" w:themeColor="text1"/>
          <w:szCs w:val="24"/>
          <w:lang w:val="en" w:eastAsia="en-GB"/>
        </w:rPr>
        <w:t>CoACS</w:t>
      </w:r>
      <w:proofErr w:type="spellEnd"/>
      <w:r w:rsidRPr="00E208EF">
        <w:rPr>
          <w:rFonts w:cs="Arial"/>
          <w:color w:val="000000" w:themeColor="text1"/>
          <w:szCs w:val="24"/>
          <w:lang w:val="en" w:eastAsia="en-GB"/>
        </w:rPr>
        <w:t xml:space="preserve"> are a viable option. </w:t>
      </w:r>
    </w:p>
    <w:p w14:paraId="72C0B794" w14:textId="77777777" w:rsidR="00E208EF" w:rsidRPr="00E208EF" w:rsidRDefault="00E208EF" w:rsidP="00E208EF">
      <w:pPr>
        <w:numPr>
          <w:ilvl w:val="0"/>
          <w:numId w:val="11"/>
        </w:numPr>
        <w:tabs>
          <w:tab w:val="clear" w:pos="720"/>
          <w:tab w:val="clear" w:pos="1440"/>
          <w:tab w:val="clear" w:pos="2160"/>
          <w:tab w:val="clear" w:pos="2880"/>
          <w:tab w:val="clear" w:pos="4680"/>
          <w:tab w:val="clear" w:pos="5400"/>
          <w:tab w:val="clear" w:pos="9000"/>
        </w:tabs>
        <w:spacing w:after="200" w:line="315" w:lineRule="atLeast"/>
        <w:ind w:firstLine="0"/>
        <w:jc w:val="left"/>
        <w:textAlignment w:val="top"/>
        <w:rPr>
          <w:rFonts w:cs="Arial"/>
          <w:color w:val="000000" w:themeColor="text1"/>
          <w:szCs w:val="24"/>
        </w:rPr>
      </w:pPr>
      <w:r w:rsidRPr="00E208EF">
        <w:rPr>
          <w:rFonts w:cs="Arial"/>
          <w:color w:val="000000" w:themeColor="text1"/>
          <w:szCs w:val="24"/>
          <w:lang w:val="en" w:eastAsia="en-GB"/>
        </w:rPr>
        <w:t xml:space="preserve">In very broad terms, there was a suggestion that </w:t>
      </w:r>
      <w:proofErr w:type="spellStart"/>
      <w:r w:rsidRPr="00E208EF">
        <w:rPr>
          <w:rFonts w:cs="Arial"/>
          <w:color w:val="000000" w:themeColor="text1"/>
          <w:szCs w:val="24"/>
          <w:lang w:val="en" w:eastAsia="en-GB"/>
        </w:rPr>
        <w:t>PAIFS</w:t>
      </w:r>
      <w:proofErr w:type="spellEnd"/>
      <w:r w:rsidRPr="00E208EF">
        <w:rPr>
          <w:rFonts w:cs="Arial"/>
          <w:color w:val="000000" w:themeColor="text1"/>
          <w:szCs w:val="24"/>
          <w:lang w:val="en" w:eastAsia="en-GB"/>
        </w:rPr>
        <w:t xml:space="preserve"> are largely used for non-residential property investment, whilst </w:t>
      </w:r>
      <w:proofErr w:type="spellStart"/>
      <w:r w:rsidRPr="00E208EF">
        <w:rPr>
          <w:rFonts w:cs="Arial"/>
          <w:color w:val="000000" w:themeColor="text1"/>
          <w:szCs w:val="24"/>
          <w:lang w:val="en" w:eastAsia="en-GB"/>
        </w:rPr>
        <w:t>CoACS</w:t>
      </w:r>
      <w:proofErr w:type="spellEnd"/>
      <w:r w:rsidRPr="00E208EF">
        <w:rPr>
          <w:rFonts w:cs="Arial"/>
          <w:color w:val="000000" w:themeColor="text1"/>
          <w:szCs w:val="24"/>
          <w:lang w:val="en" w:eastAsia="en-GB"/>
        </w:rPr>
        <w:t xml:space="preserve"> are more residential (focused on e.g. student housing or other built to rent projects, rather than family homes or individual apartments). Residential property in </w:t>
      </w:r>
      <w:proofErr w:type="spellStart"/>
      <w:r w:rsidRPr="00E208EF">
        <w:rPr>
          <w:rFonts w:cs="Arial"/>
          <w:color w:val="000000" w:themeColor="text1"/>
          <w:szCs w:val="24"/>
          <w:lang w:val="en" w:eastAsia="en-GB"/>
        </w:rPr>
        <w:t>PAIFs</w:t>
      </w:r>
      <w:proofErr w:type="spellEnd"/>
      <w:r w:rsidRPr="00E208EF">
        <w:rPr>
          <w:rFonts w:cs="Arial"/>
          <w:color w:val="000000" w:themeColor="text1"/>
          <w:szCs w:val="24"/>
          <w:lang w:val="en" w:eastAsia="en-GB"/>
        </w:rPr>
        <w:t xml:space="preserve"> may be becoming more significant however and there is already one fully residential </w:t>
      </w:r>
      <w:proofErr w:type="spellStart"/>
      <w:r w:rsidRPr="00E208EF">
        <w:rPr>
          <w:rFonts w:cs="Arial"/>
          <w:color w:val="000000" w:themeColor="text1"/>
          <w:szCs w:val="24"/>
          <w:lang w:val="en" w:eastAsia="en-GB"/>
        </w:rPr>
        <w:t>PAIF</w:t>
      </w:r>
      <w:proofErr w:type="spellEnd"/>
      <w:r w:rsidRPr="00E208EF">
        <w:rPr>
          <w:rFonts w:cs="Arial"/>
          <w:color w:val="000000" w:themeColor="text1"/>
          <w:szCs w:val="24"/>
          <w:lang w:val="en" w:eastAsia="en-GB"/>
        </w:rPr>
        <w:t>, focused on build to rent properties.</w:t>
      </w:r>
    </w:p>
    <w:p w14:paraId="664FA2D2" w14:textId="77777777" w:rsidR="00E208EF" w:rsidRPr="00E208EF" w:rsidRDefault="00E208EF" w:rsidP="00E208EF">
      <w:pPr>
        <w:numPr>
          <w:ilvl w:val="0"/>
          <w:numId w:val="11"/>
        </w:numPr>
        <w:tabs>
          <w:tab w:val="clear" w:pos="720"/>
          <w:tab w:val="clear" w:pos="1440"/>
          <w:tab w:val="clear" w:pos="2160"/>
          <w:tab w:val="clear" w:pos="2880"/>
          <w:tab w:val="clear" w:pos="4680"/>
          <w:tab w:val="clear" w:pos="5400"/>
          <w:tab w:val="clear" w:pos="9000"/>
        </w:tabs>
        <w:spacing w:after="200" w:line="315" w:lineRule="atLeast"/>
        <w:ind w:firstLine="0"/>
        <w:jc w:val="left"/>
        <w:textAlignment w:val="top"/>
        <w:rPr>
          <w:rFonts w:ascii="Calibri" w:hAnsi="Calibri" w:cs="Arial"/>
          <w:color w:val="000000" w:themeColor="text1"/>
          <w:sz w:val="22"/>
          <w:szCs w:val="24"/>
          <w:lang w:val="en" w:eastAsia="en-GB"/>
        </w:rPr>
      </w:pPr>
      <w:r w:rsidRPr="00E208EF">
        <w:rPr>
          <w:rFonts w:cs="Arial"/>
          <w:color w:val="000000" w:themeColor="text1"/>
          <w:szCs w:val="24"/>
        </w:rPr>
        <w:t xml:space="preserve">Clawback provisions for the </w:t>
      </w:r>
      <w:proofErr w:type="spellStart"/>
      <w:r w:rsidRPr="00E208EF">
        <w:rPr>
          <w:rFonts w:cs="Arial"/>
          <w:color w:val="000000" w:themeColor="text1"/>
          <w:szCs w:val="24"/>
        </w:rPr>
        <w:t>SDLT</w:t>
      </w:r>
      <w:proofErr w:type="spellEnd"/>
      <w:r w:rsidRPr="00E208EF">
        <w:rPr>
          <w:rFonts w:cs="Arial"/>
          <w:color w:val="000000" w:themeColor="text1"/>
          <w:szCs w:val="24"/>
        </w:rPr>
        <w:t xml:space="preserve"> relief (discussed further below), along with other issues, have to date prevented widespread seeding.  Two funds have however been launched using the </w:t>
      </w:r>
      <w:proofErr w:type="spellStart"/>
      <w:r w:rsidRPr="00E208EF">
        <w:rPr>
          <w:rFonts w:cs="Arial"/>
          <w:color w:val="000000" w:themeColor="text1"/>
          <w:szCs w:val="24"/>
        </w:rPr>
        <w:t>SDLT</w:t>
      </w:r>
      <w:proofErr w:type="spellEnd"/>
      <w:r w:rsidRPr="00E208EF">
        <w:rPr>
          <w:rFonts w:cs="Arial"/>
          <w:color w:val="000000" w:themeColor="text1"/>
          <w:szCs w:val="24"/>
        </w:rPr>
        <w:t xml:space="preserve"> seeding relief, both of which have excluded Scottish property from their seed portfolio. One of the 2 “new” funds was launched in October 2017. They left approximately £</w:t>
      </w:r>
      <w:proofErr w:type="spellStart"/>
      <w:r w:rsidRPr="00E208EF">
        <w:rPr>
          <w:rFonts w:cs="Arial"/>
          <w:color w:val="000000" w:themeColor="text1"/>
          <w:szCs w:val="24"/>
        </w:rPr>
        <w:t>90m</w:t>
      </w:r>
      <w:proofErr w:type="spellEnd"/>
      <w:r w:rsidRPr="00E208EF">
        <w:rPr>
          <w:rFonts w:cs="Arial"/>
          <w:color w:val="000000" w:themeColor="text1"/>
          <w:szCs w:val="24"/>
        </w:rPr>
        <w:t xml:space="preserve"> - £</w:t>
      </w:r>
      <w:proofErr w:type="spellStart"/>
      <w:r w:rsidRPr="00E208EF">
        <w:rPr>
          <w:rFonts w:cs="Arial"/>
          <w:color w:val="000000" w:themeColor="text1"/>
          <w:szCs w:val="24"/>
        </w:rPr>
        <w:t>100m</w:t>
      </w:r>
      <w:proofErr w:type="spellEnd"/>
      <w:r w:rsidRPr="00E208EF">
        <w:rPr>
          <w:rFonts w:cs="Arial"/>
          <w:color w:val="000000" w:themeColor="text1"/>
          <w:szCs w:val="24"/>
        </w:rPr>
        <w:t xml:space="preserve"> of Scottish real estate out of the portfolios due to </w:t>
      </w:r>
      <w:proofErr w:type="spellStart"/>
      <w:r w:rsidRPr="00E208EF">
        <w:rPr>
          <w:rFonts w:cs="Arial"/>
          <w:color w:val="000000" w:themeColor="text1"/>
          <w:szCs w:val="24"/>
        </w:rPr>
        <w:t>LBTT</w:t>
      </w:r>
      <w:proofErr w:type="spellEnd"/>
      <w:r w:rsidRPr="00E208EF">
        <w:rPr>
          <w:rFonts w:cs="Arial"/>
          <w:color w:val="000000" w:themeColor="text1"/>
          <w:szCs w:val="24"/>
        </w:rPr>
        <w:t xml:space="preserve"> issues. A further seeding exercise is planned for the future. There is now a programme in place for selling these down. It was separately suggested that, given clawback issues, these properties could be used to provide the necessary flexibility when policy holders wished to redeem their investment. </w:t>
      </w:r>
    </w:p>
    <w:p w14:paraId="18264E73" w14:textId="77777777" w:rsidR="00E208EF" w:rsidRPr="00E208EF" w:rsidRDefault="00E208EF" w:rsidP="00E208EF">
      <w:pPr>
        <w:numPr>
          <w:ilvl w:val="0"/>
          <w:numId w:val="11"/>
        </w:numPr>
        <w:tabs>
          <w:tab w:val="clear" w:pos="720"/>
          <w:tab w:val="clear" w:pos="1440"/>
          <w:tab w:val="clear" w:pos="2160"/>
          <w:tab w:val="clear" w:pos="2880"/>
          <w:tab w:val="clear" w:pos="4680"/>
          <w:tab w:val="clear" w:pos="5400"/>
          <w:tab w:val="clear" w:pos="9000"/>
        </w:tabs>
        <w:spacing w:line="315" w:lineRule="atLeast"/>
        <w:ind w:firstLine="0"/>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There was no evidence, from the operation of current funds, that property turnover is greater or lesser for properties owned by investment funds than property not under fund management; and </w:t>
      </w:r>
    </w:p>
    <w:p w14:paraId="109C446F"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ind w:left="720"/>
        <w:jc w:val="left"/>
        <w:textAlignment w:val="top"/>
        <w:rPr>
          <w:rFonts w:cs="Arial"/>
          <w:color w:val="000000" w:themeColor="text1"/>
          <w:szCs w:val="24"/>
          <w:lang w:val="en" w:eastAsia="en-GB"/>
        </w:rPr>
      </w:pPr>
    </w:p>
    <w:p w14:paraId="55FA01B5" w14:textId="77777777" w:rsidR="00E208EF" w:rsidRPr="00E208EF" w:rsidRDefault="00E208EF" w:rsidP="00E208EF">
      <w:pPr>
        <w:numPr>
          <w:ilvl w:val="0"/>
          <w:numId w:val="11"/>
        </w:numPr>
        <w:tabs>
          <w:tab w:val="clear" w:pos="720"/>
          <w:tab w:val="clear" w:pos="1440"/>
          <w:tab w:val="clear" w:pos="2160"/>
          <w:tab w:val="clear" w:pos="2880"/>
          <w:tab w:val="clear" w:pos="4680"/>
          <w:tab w:val="clear" w:pos="5400"/>
          <w:tab w:val="clear" w:pos="9000"/>
        </w:tabs>
        <w:spacing w:after="200" w:line="315" w:lineRule="atLeast"/>
        <w:ind w:firstLine="0"/>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In terms of timing, it was noted that decisions taken to seed funds into new investment vehicles is not a short term decision and can often take over 18 months to resolve. </w:t>
      </w:r>
    </w:p>
    <w:p w14:paraId="29FA2F9B" w14:textId="77777777" w:rsidR="00E208EF" w:rsidRDefault="00E208EF" w:rsidP="00E208EF">
      <w:pPr>
        <w:numPr>
          <w:ilvl w:val="0"/>
          <w:numId w:val="11"/>
        </w:numPr>
        <w:tabs>
          <w:tab w:val="clear" w:pos="720"/>
          <w:tab w:val="clear" w:pos="1440"/>
          <w:tab w:val="clear" w:pos="2160"/>
          <w:tab w:val="clear" w:pos="2880"/>
          <w:tab w:val="clear" w:pos="4680"/>
          <w:tab w:val="clear" w:pos="5400"/>
          <w:tab w:val="clear" w:pos="9000"/>
        </w:tabs>
        <w:spacing w:after="200" w:line="315" w:lineRule="atLeast"/>
        <w:ind w:firstLine="0"/>
        <w:jc w:val="left"/>
        <w:textAlignment w:val="top"/>
        <w:rPr>
          <w:rFonts w:cs="Arial"/>
          <w:color w:val="000000" w:themeColor="text1"/>
          <w:szCs w:val="24"/>
          <w:lang w:val="en" w:eastAsia="en-GB"/>
        </w:rPr>
      </w:pPr>
      <w:r w:rsidRPr="00E208EF">
        <w:rPr>
          <w:rFonts w:cs="Arial"/>
          <w:color w:val="000000" w:themeColor="text1"/>
          <w:szCs w:val="24"/>
          <w:lang w:val="en" w:eastAsia="en-GB"/>
        </w:rPr>
        <w:t>Similarly decisions to move large high value assets between funds or to dispose of them are not short term decisions, negotiations and decisions can take many months</w:t>
      </w:r>
      <w:r>
        <w:rPr>
          <w:rFonts w:cs="Arial"/>
          <w:color w:val="000000" w:themeColor="text1"/>
          <w:szCs w:val="24"/>
          <w:lang w:val="en" w:eastAsia="en-GB"/>
        </w:rPr>
        <w:t>.</w:t>
      </w:r>
    </w:p>
    <w:p w14:paraId="3BA0EBA4" w14:textId="7F0CD2A6" w:rsidR="00E208EF" w:rsidRPr="00E208EF" w:rsidRDefault="00E208EF" w:rsidP="00E208EF">
      <w:p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color w:val="000000" w:themeColor="text1"/>
          <w:szCs w:val="24"/>
          <w:lang w:val="en" w:eastAsia="en-GB"/>
        </w:rPr>
      </w:pPr>
      <w:proofErr w:type="spellStart"/>
      <w:r w:rsidRPr="00E208EF">
        <w:rPr>
          <w:rFonts w:cs="Arial"/>
          <w:b/>
          <w:color w:val="000000" w:themeColor="text1"/>
          <w:szCs w:val="24"/>
          <w:u w:val="single"/>
          <w:lang w:val="en" w:eastAsia="en-GB"/>
        </w:rPr>
        <w:t>SDLT</w:t>
      </w:r>
      <w:proofErr w:type="spellEnd"/>
      <w:r w:rsidRPr="00E208EF">
        <w:rPr>
          <w:rFonts w:cs="Arial"/>
          <w:b/>
          <w:color w:val="000000" w:themeColor="text1"/>
          <w:szCs w:val="24"/>
          <w:u w:val="single"/>
          <w:lang w:val="en" w:eastAsia="en-GB"/>
        </w:rPr>
        <w:t xml:space="preserve"> Claw Back and Tax Avoidance</w:t>
      </w:r>
    </w:p>
    <w:p w14:paraId="277CBEC8"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textAlignment w:val="top"/>
        <w:rPr>
          <w:rFonts w:cs="Arial"/>
          <w:color w:val="000000" w:themeColor="text1"/>
          <w:szCs w:val="24"/>
          <w:lang w:val="en" w:eastAsia="en-GB"/>
        </w:rPr>
      </w:pPr>
      <w:r w:rsidRPr="00E208EF">
        <w:rPr>
          <w:rFonts w:cs="Arial"/>
          <w:color w:val="000000" w:themeColor="text1"/>
          <w:szCs w:val="24"/>
          <w:lang w:val="en" w:eastAsia="en-GB"/>
        </w:rPr>
        <w:t>3.</w:t>
      </w:r>
      <w:r w:rsidRPr="00E208EF">
        <w:rPr>
          <w:rFonts w:cs="Arial"/>
          <w:color w:val="000000" w:themeColor="text1"/>
          <w:szCs w:val="24"/>
          <w:lang w:val="en" w:eastAsia="en-GB"/>
        </w:rPr>
        <w:tab/>
        <w:t xml:space="preserve">Attendees highlighted concerns about current </w:t>
      </w:r>
      <w:proofErr w:type="spellStart"/>
      <w:r w:rsidRPr="00E208EF">
        <w:rPr>
          <w:rFonts w:cs="Arial"/>
          <w:color w:val="000000" w:themeColor="text1"/>
          <w:szCs w:val="24"/>
          <w:lang w:val="en" w:eastAsia="en-GB"/>
        </w:rPr>
        <w:t>SDLT</w:t>
      </w:r>
      <w:proofErr w:type="spellEnd"/>
      <w:r w:rsidRPr="00E208EF">
        <w:rPr>
          <w:rFonts w:cs="Arial"/>
          <w:color w:val="000000" w:themeColor="text1"/>
          <w:szCs w:val="24"/>
          <w:lang w:val="en" w:eastAsia="en-GB"/>
        </w:rPr>
        <w:t xml:space="preserve"> claw back provisions, which are seen as limiting the value of the relief, and noted that representations were being made to HMT/</w:t>
      </w:r>
      <w:proofErr w:type="spellStart"/>
      <w:r w:rsidRPr="00E208EF">
        <w:rPr>
          <w:rFonts w:cs="Arial"/>
          <w:color w:val="000000" w:themeColor="text1"/>
          <w:szCs w:val="24"/>
          <w:lang w:val="en" w:eastAsia="en-GB"/>
        </w:rPr>
        <w:t>HMRC</w:t>
      </w:r>
      <w:proofErr w:type="spellEnd"/>
      <w:r w:rsidRPr="00E208EF">
        <w:rPr>
          <w:rFonts w:cs="Arial"/>
          <w:color w:val="000000" w:themeColor="text1"/>
          <w:szCs w:val="24"/>
          <w:lang w:val="en" w:eastAsia="en-GB"/>
        </w:rPr>
        <w:t xml:space="preserve">.  Any fix could result in a sudden increase of fund managers initiating seeding into </w:t>
      </w:r>
      <w:proofErr w:type="spellStart"/>
      <w:r w:rsidRPr="00E208EF">
        <w:rPr>
          <w:rFonts w:cs="Arial"/>
          <w:color w:val="000000" w:themeColor="text1"/>
          <w:szCs w:val="24"/>
          <w:lang w:val="en" w:eastAsia="en-GB"/>
        </w:rPr>
        <w:t>CoACS</w:t>
      </w:r>
      <w:proofErr w:type="spellEnd"/>
      <w:r w:rsidRPr="00E208EF">
        <w:rPr>
          <w:rFonts w:cs="Arial"/>
          <w:color w:val="000000" w:themeColor="text1"/>
          <w:szCs w:val="24"/>
          <w:lang w:val="en" w:eastAsia="en-GB"/>
        </w:rPr>
        <w:t xml:space="preserve"> or </w:t>
      </w:r>
      <w:proofErr w:type="spellStart"/>
      <w:r w:rsidRPr="00E208EF">
        <w:rPr>
          <w:rFonts w:cs="Arial"/>
          <w:color w:val="000000" w:themeColor="text1"/>
          <w:szCs w:val="24"/>
          <w:lang w:val="en" w:eastAsia="en-GB"/>
        </w:rPr>
        <w:t>PAIFS</w:t>
      </w:r>
      <w:proofErr w:type="spellEnd"/>
      <w:r w:rsidRPr="00E208EF">
        <w:rPr>
          <w:rFonts w:cs="Arial"/>
          <w:color w:val="000000" w:themeColor="text1"/>
          <w:szCs w:val="24"/>
          <w:lang w:val="en" w:eastAsia="en-GB"/>
        </w:rPr>
        <w:t xml:space="preserve">. This would need to be considered in relation to </w:t>
      </w:r>
      <w:proofErr w:type="spellStart"/>
      <w:r w:rsidRPr="00E208EF">
        <w:rPr>
          <w:rFonts w:cs="Arial"/>
          <w:color w:val="000000" w:themeColor="text1"/>
          <w:szCs w:val="24"/>
          <w:lang w:val="en" w:eastAsia="en-GB"/>
        </w:rPr>
        <w:t>LBTT</w:t>
      </w:r>
      <w:proofErr w:type="spellEnd"/>
      <w:r w:rsidRPr="00E208EF">
        <w:rPr>
          <w:rFonts w:cs="Arial"/>
          <w:color w:val="000000" w:themeColor="text1"/>
          <w:szCs w:val="24"/>
          <w:lang w:val="en" w:eastAsia="en-GB"/>
        </w:rPr>
        <w:t>; attendees stressed that any arrangements across the two regimes should be uniform. More specifically, areas of concern highlighted with regard to the claw back provisions were that:</w:t>
      </w:r>
    </w:p>
    <w:p w14:paraId="77AFCE14"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line="315" w:lineRule="atLeast"/>
        <w:textAlignment w:val="top"/>
        <w:rPr>
          <w:rFonts w:cs="Arial"/>
          <w:color w:val="000000" w:themeColor="text1"/>
          <w:szCs w:val="24"/>
          <w:lang w:val="en" w:eastAsia="en-GB"/>
        </w:rPr>
      </w:pPr>
    </w:p>
    <w:p w14:paraId="2E81C3C9" w14:textId="77777777" w:rsidR="00E208EF" w:rsidRPr="00E208EF" w:rsidRDefault="00E208EF" w:rsidP="00E208EF">
      <w:pPr>
        <w:numPr>
          <w:ilvl w:val="0"/>
          <w:numId w:val="15"/>
        </w:numPr>
        <w:tabs>
          <w:tab w:val="clear" w:pos="720"/>
          <w:tab w:val="clear" w:pos="1440"/>
          <w:tab w:val="clear" w:pos="2160"/>
          <w:tab w:val="clear" w:pos="2880"/>
          <w:tab w:val="clear" w:pos="4680"/>
          <w:tab w:val="clear" w:pos="5400"/>
          <w:tab w:val="clear" w:pos="9000"/>
        </w:tabs>
        <w:spacing w:after="200" w:line="315" w:lineRule="atLeast"/>
        <w:ind w:left="709" w:firstLine="0"/>
        <w:jc w:val="left"/>
        <w:textAlignment w:val="top"/>
        <w:rPr>
          <w:rFonts w:cs="Arial"/>
          <w:b/>
          <w:color w:val="000000" w:themeColor="text1"/>
          <w:szCs w:val="24"/>
          <w:lang w:val="en" w:eastAsia="en-GB"/>
        </w:rPr>
      </w:pPr>
      <w:r w:rsidRPr="00E208EF">
        <w:rPr>
          <w:rFonts w:cs="Arial"/>
          <w:color w:val="000000" w:themeColor="text1"/>
          <w:szCs w:val="24"/>
          <w:lang w:val="en" w:eastAsia="en-GB"/>
        </w:rPr>
        <w:t xml:space="preserve">Actuaries are obliged to consider only their policy holders wishes not the operation of funds as a whole.  For example unit linked funds have no control over individual investors behaviors which in turn can trigger claw back provisions when an individual leaves a fund.  Fund managers have to release assets to meet the costs of policy redemptions. </w:t>
      </w:r>
    </w:p>
    <w:p w14:paraId="4340CCDD" w14:textId="77777777" w:rsidR="00E208EF" w:rsidRPr="00E208EF" w:rsidRDefault="00E208EF" w:rsidP="00E208EF">
      <w:pPr>
        <w:numPr>
          <w:ilvl w:val="0"/>
          <w:numId w:val="15"/>
        </w:numPr>
        <w:tabs>
          <w:tab w:val="clear" w:pos="720"/>
          <w:tab w:val="clear" w:pos="1440"/>
          <w:tab w:val="clear" w:pos="2160"/>
          <w:tab w:val="clear" w:pos="2880"/>
          <w:tab w:val="clear" w:pos="4680"/>
          <w:tab w:val="clear" w:pos="5400"/>
          <w:tab w:val="clear" w:pos="9000"/>
        </w:tabs>
        <w:spacing w:after="200" w:line="315" w:lineRule="atLeast"/>
        <w:ind w:left="709" w:firstLine="0"/>
        <w:jc w:val="left"/>
        <w:textAlignment w:val="top"/>
        <w:rPr>
          <w:rFonts w:cs="Arial"/>
          <w:b/>
          <w:color w:val="000000" w:themeColor="text1"/>
          <w:szCs w:val="24"/>
          <w:lang w:val="en" w:eastAsia="en-GB"/>
        </w:rPr>
      </w:pPr>
      <w:r w:rsidRPr="00E208EF">
        <w:rPr>
          <w:rFonts w:cs="Arial"/>
          <w:color w:val="000000" w:themeColor="text1"/>
          <w:szCs w:val="24"/>
          <w:lang w:val="en" w:eastAsia="en-GB"/>
        </w:rPr>
        <w:t xml:space="preserve">When a fund becomes a </w:t>
      </w:r>
      <w:proofErr w:type="spellStart"/>
      <w:r w:rsidRPr="00E208EF">
        <w:rPr>
          <w:rFonts w:cs="Arial"/>
          <w:color w:val="000000" w:themeColor="text1"/>
          <w:szCs w:val="24"/>
          <w:lang w:val="en" w:eastAsia="en-GB"/>
        </w:rPr>
        <w:t>CoACS</w:t>
      </w:r>
      <w:proofErr w:type="spellEnd"/>
      <w:r w:rsidRPr="00E208EF">
        <w:rPr>
          <w:rFonts w:cs="Arial"/>
          <w:color w:val="000000" w:themeColor="text1"/>
          <w:szCs w:val="24"/>
          <w:lang w:val="en" w:eastAsia="en-GB"/>
        </w:rPr>
        <w:t xml:space="preserve"> it changes the tax treatment of the fund beneficiaries.  The individuals become liable for tax on their income and the fund itself it is no longer taxed at source.  This transparency can trigger claw back provisions when properties in the fund are bought and sold. In turn this can hamper growth in funds due to concerns over triggering claw back. </w:t>
      </w:r>
    </w:p>
    <w:p w14:paraId="280001C5" w14:textId="77777777" w:rsidR="00E208EF" w:rsidRPr="00E208EF" w:rsidRDefault="00E208EF" w:rsidP="00E208EF">
      <w:pPr>
        <w:numPr>
          <w:ilvl w:val="0"/>
          <w:numId w:val="15"/>
        </w:numPr>
        <w:tabs>
          <w:tab w:val="clear" w:pos="720"/>
          <w:tab w:val="clear" w:pos="1440"/>
          <w:tab w:val="clear" w:pos="2160"/>
          <w:tab w:val="clear" w:pos="2880"/>
          <w:tab w:val="clear" w:pos="4680"/>
          <w:tab w:val="clear" w:pos="5400"/>
          <w:tab w:val="clear" w:pos="9000"/>
        </w:tabs>
        <w:spacing w:after="200" w:line="315" w:lineRule="atLeast"/>
        <w:ind w:left="709" w:firstLine="0"/>
        <w:jc w:val="left"/>
        <w:textAlignment w:val="top"/>
        <w:rPr>
          <w:rFonts w:cs="Arial"/>
          <w:b/>
          <w:color w:val="000000" w:themeColor="text1"/>
          <w:szCs w:val="24"/>
          <w:lang w:val="en" w:eastAsia="en-GB"/>
        </w:rPr>
      </w:pPr>
      <w:r w:rsidRPr="00E208EF">
        <w:rPr>
          <w:rFonts w:cs="Arial"/>
          <w:color w:val="000000" w:themeColor="text1"/>
          <w:szCs w:val="24"/>
          <w:lang w:val="en" w:eastAsia="en-GB"/>
        </w:rPr>
        <w:t xml:space="preserve">Should the Scottish Government proceed with a seeding relief it could introduce a clearing process which alongside a </w:t>
      </w:r>
      <w:proofErr w:type="spellStart"/>
      <w:r w:rsidRPr="00E208EF">
        <w:rPr>
          <w:rFonts w:cs="Arial"/>
          <w:color w:val="000000" w:themeColor="text1"/>
          <w:szCs w:val="24"/>
          <w:lang w:val="en" w:eastAsia="en-GB"/>
        </w:rPr>
        <w:t>TAAR</w:t>
      </w:r>
      <w:proofErr w:type="spellEnd"/>
      <w:r w:rsidRPr="00E208EF">
        <w:rPr>
          <w:rFonts w:cs="Arial"/>
          <w:color w:val="000000" w:themeColor="text1"/>
          <w:szCs w:val="24"/>
          <w:lang w:val="en" w:eastAsia="en-GB"/>
        </w:rPr>
        <w:t xml:space="preserve">  would reduce avoidance risk</w:t>
      </w:r>
      <w:r w:rsidRPr="00E208EF">
        <w:rPr>
          <w:rFonts w:cs="Arial"/>
          <w:b/>
          <w:color w:val="000000" w:themeColor="text1"/>
          <w:szCs w:val="24"/>
          <w:lang w:val="en" w:eastAsia="en-GB"/>
        </w:rPr>
        <w:t>.</w:t>
      </w:r>
    </w:p>
    <w:p w14:paraId="2350A0FC"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b/>
          <w:color w:val="000000" w:themeColor="text1"/>
          <w:szCs w:val="24"/>
          <w:lang w:val="en" w:eastAsia="en-GB"/>
        </w:rPr>
      </w:pPr>
      <w:r w:rsidRPr="00E208EF">
        <w:rPr>
          <w:rFonts w:cs="Arial"/>
          <w:color w:val="000000" w:themeColor="text1"/>
          <w:szCs w:val="24"/>
          <w:lang w:val="en" w:eastAsia="en-GB"/>
        </w:rPr>
        <w:t>4.</w:t>
      </w:r>
      <w:r w:rsidRPr="00E208EF">
        <w:rPr>
          <w:rFonts w:cs="Arial"/>
          <w:color w:val="000000" w:themeColor="text1"/>
          <w:szCs w:val="24"/>
          <w:lang w:val="en" w:eastAsia="en-GB"/>
        </w:rPr>
        <w:tab/>
        <w:t xml:space="preserve">Attendees set out their view that investment funds are subject to non-tax regulation and legislation which contains substantial anti-fraud and anti-avoidance measures that in turn make it difficult for investment funds to engage in tax avoidance.  As such, they saw no need for additional claw back provisions in the seeding relief legislation.  It was suggested that Scottish Government should contact the Collective Investment Team at </w:t>
      </w:r>
      <w:proofErr w:type="spellStart"/>
      <w:r w:rsidRPr="00E208EF">
        <w:rPr>
          <w:rFonts w:cs="Arial"/>
          <w:color w:val="000000" w:themeColor="text1"/>
          <w:szCs w:val="24"/>
          <w:lang w:val="en" w:eastAsia="en-GB"/>
        </w:rPr>
        <w:t>HMRC</w:t>
      </w:r>
      <w:proofErr w:type="spellEnd"/>
      <w:r w:rsidRPr="00E208EF">
        <w:rPr>
          <w:rFonts w:cs="Arial"/>
          <w:color w:val="000000" w:themeColor="text1"/>
          <w:szCs w:val="24"/>
          <w:lang w:val="en" w:eastAsia="en-GB"/>
        </w:rPr>
        <w:t xml:space="preserve"> for further information on investment fund regulation.  Stakeholders highlighted that they thought it was important that the Scottish Government work collaboratively with their UK Government </w:t>
      </w:r>
      <w:proofErr w:type="spellStart"/>
      <w:r w:rsidRPr="00E208EF">
        <w:rPr>
          <w:rFonts w:cs="Arial"/>
          <w:color w:val="000000" w:themeColor="text1"/>
          <w:szCs w:val="24"/>
          <w:lang w:val="en" w:eastAsia="en-GB"/>
        </w:rPr>
        <w:t>couterparts</w:t>
      </w:r>
      <w:proofErr w:type="spellEnd"/>
      <w:r w:rsidRPr="00E208EF">
        <w:rPr>
          <w:rFonts w:cs="Arial"/>
          <w:color w:val="000000" w:themeColor="text1"/>
          <w:szCs w:val="24"/>
          <w:lang w:val="en" w:eastAsia="en-GB"/>
        </w:rPr>
        <w:t xml:space="preserve">. </w:t>
      </w:r>
    </w:p>
    <w:p w14:paraId="673CA2C9" w14:textId="77777777" w:rsidR="00E208EF" w:rsidRPr="00E208EF" w:rsidRDefault="00E208EF" w:rsidP="00E208EF">
      <w:p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b/>
          <w:color w:val="000000" w:themeColor="text1"/>
          <w:szCs w:val="24"/>
          <w:u w:val="single"/>
          <w:lang w:val="en" w:eastAsia="en-GB"/>
        </w:rPr>
      </w:pPr>
      <w:proofErr w:type="spellStart"/>
      <w:r w:rsidRPr="00E208EF">
        <w:rPr>
          <w:rFonts w:cs="Arial"/>
          <w:b/>
          <w:color w:val="000000" w:themeColor="text1"/>
          <w:szCs w:val="24"/>
          <w:u w:val="single"/>
          <w:lang w:val="en" w:eastAsia="en-GB"/>
        </w:rPr>
        <w:t>LBTT</w:t>
      </w:r>
      <w:proofErr w:type="spellEnd"/>
      <w:r w:rsidRPr="00E208EF">
        <w:rPr>
          <w:rFonts w:cs="Arial"/>
          <w:b/>
          <w:color w:val="000000" w:themeColor="text1"/>
          <w:szCs w:val="24"/>
          <w:u w:val="single"/>
          <w:lang w:val="en" w:eastAsia="en-GB"/>
        </w:rPr>
        <w:t xml:space="preserve"> Treatment of </w:t>
      </w:r>
      <w:proofErr w:type="spellStart"/>
      <w:r w:rsidRPr="00E208EF">
        <w:rPr>
          <w:rFonts w:cs="Arial"/>
          <w:b/>
          <w:color w:val="000000" w:themeColor="text1"/>
          <w:szCs w:val="24"/>
          <w:u w:val="single"/>
          <w:lang w:val="en" w:eastAsia="en-GB"/>
        </w:rPr>
        <w:t>CoACS</w:t>
      </w:r>
      <w:proofErr w:type="spellEnd"/>
    </w:p>
    <w:p w14:paraId="1C3DDE8D" w14:textId="77777777" w:rsidR="00E208EF" w:rsidRPr="00E208EF" w:rsidRDefault="00E208EF" w:rsidP="00E208EF">
      <w:pPr>
        <w:numPr>
          <w:ilvl w:val="0"/>
          <w:numId w:val="12"/>
        </w:num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Transparency of </w:t>
      </w:r>
      <w:proofErr w:type="spellStart"/>
      <w:r w:rsidRPr="00E208EF">
        <w:rPr>
          <w:rFonts w:cs="Arial"/>
          <w:color w:val="000000" w:themeColor="text1"/>
          <w:szCs w:val="24"/>
          <w:lang w:val="en" w:eastAsia="en-GB"/>
        </w:rPr>
        <w:t>CoACS</w:t>
      </w:r>
      <w:proofErr w:type="spellEnd"/>
      <w:r w:rsidRPr="00E208EF">
        <w:rPr>
          <w:rFonts w:cs="Arial"/>
          <w:color w:val="000000" w:themeColor="text1"/>
          <w:szCs w:val="24"/>
          <w:lang w:val="en" w:eastAsia="en-GB"/>
        </w:rPr>
        <w:t xml:space="preserve"> could technically result in a large number of potential </w:t>
      </w:r>
      <w:proofErr w:type="spellStart"/>
      <w:r w:rsidRPr="00E208EF">
        <w:rPr>
          <w:rFonts w:cs="Arial"/>
          <w:color w:val="000000" w:themeColor="text1"/>
          <w:szCs w:val="24"/>
          <w:lang w:val="en" w:eastAsia="en-GB"/>
        </w:rPr>
        <w:t>LBTT</w:t>
      </w:r>
      <w:proofErr w:type="spellEnd"/>
      <w:r w:rsidRPr="00E208EF">
        <w:rPr>
          <w:rFonts w:cs="Arial"/>
          <w:color w:val="000000" w:themeColor="text1"/>
          <w:szCs w:val="24"/>
          <w:lang w:val="en" w:eastAsia="en-GB"/>
        </w:rPr>
        <w:t xml:space="preserve"> returns whenever property or units in a fund change.  This is not practical from a fund management perspective.  Consequence is </w:t>
      </w:r>
      <w:proofErr w:type="spellStart"/>
      <w:r w:rsidRPr="00E208EF">
        <w:rPr>
          <w:rFonts w:cs="Arial"/>
          <w:color w:val="000000" w:themeColor="text1"/>
          <w:szCs w:val="24"/>
          <w:lang w:val="en" w:eastAsia="en-GB"/>
        </w:rPr>
        <w:t>CoACS</w:t>
      </w:r>
      <w:proofErr w:type="spellEnd"/>
      <w:r w:rsidRPr="00E208EF">
        <w:rPr>
          <w:rFonts w:cs="Arial"/>
          <w:color w:val="000000" w:themeColor="text1"/>
          <w:szCs w:val="24"/>
          <w:lang w:val="en" w:eastAsia="en-GB"/>
        </w:rPr>
        <w:t xml:space="preserve"> holding Scottish property should be made tax opaque for </w:t>
      </w:r>
      <w:proofErr w:type="spellStart"/>
      <w:r w:rsidRPr="00E208EF">
        <w:rPr>
          <w:rFonts w:cs="Arial"/>
          <w:color w:val="000000" w:themeColor="text1"/>
          <w:szCs w:val="24"/>
          <w:lang w:val="en" w:eastAsia="en-GB"/>
        </w:rPr>
        <w:t>LBTT</w:t>
      </w:r>
      <w:proofErr w:type="spellEnd"/>
      <w:r w:rsidRPr="00E208EF">
        <w:rPr>
          <w:rFonts w:cs="Arial"/>
          <w:color w:val="000000" w:themeColor="text1"/>
          <w:szCs w:val="24"/>
          <w:lang w:val="en" w:eastAsia="en-GB"/>
        </w:rPr>
        <w:t>.</w:t>
      </w:r>
    </w:p>
    <w:p w14:paraId="0C8F7F6C" w14:textId="77777777" w:rsidR="00E208EF" w:rsidRPr="00E208EF" w:rsidRDefault="00E208EF" w:rsidP="00E208EF">
      <w:pPr>
        <w:numPr>
          <w:ilvl w:val="0"/>
          <w:numId w:val="12"/>
        </w:num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Small scale social housing is being invested in, this includes assisted living facilities and properties.  This type of investment is often by Real Estate Investment Trust funds. </w:t>
      </w:r>
    </w:p>
    <w:p w14:paraId="78180E8C" w14:textId="77777777" w:rsidR="00E208EF" w:rsidRPr="00E208EF" w:rsidRDefault="00E208EF" w:rsidP="00E208EF">
      <w:pPr>
        <w:numPr>
          <w:ilvl w:val="0"/>
          <w:numId w:val="12"/>
        </w:num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color w:val="000000" w:themeColor="text1"/>
          <w:szCs w:val="24"/>
          <w:lang w:val="en" w:eastAsia="en-GB"/>
        </w:rPr>
      </w:pPr>
      <w:r w:rsidRPr="00E208EF">
        <w:rPr>
          <w:rFonts w:cs="Arial"/>
          <w:color w:val="000000" w:themeColor="text1"/>
          <w:szCs w:val="24"/>
          <w:lang w:val="en" w:eastAsia="en-GB"/>
        </w:rPr>
        <w:t xml:space="preserve">Large number of the funds are offshore funds - specifically Jersey– currently changing due to UK changes to offshore tax treatment (March/April 2019 </w:t>
      </w:r>
      <w:proofErr w:type="spellStart"/>
      <w:r w:rsidRPr="00E208EF">
        <w:rPr>
          <w:rFonts w:cs="Arial"/>
          <w:color w:val="000000" w:themeColor="text1"/>
          <w:szCs w:val="24"/>
          <w:lang w:val="en" w:eastAsia="en-GB"/>
        </w:rPr>
        <w:t>CGT</w:t>
      </w:r>
      <w:proofErr w:type="spellEnd"/>
      <w:r w:rsidRPr="00E208EF">
        <w:rPr>
          <w:rFonts w:cs="Arial"/>
          <w:color w:val="000000" w:themeColor="text1"/>
          <w:szCs w:val="24"/>
          <w:lang w:val="en" w:eastAsia="en-GB"/>
        </w:rPr>
        <w:t xml:space="preserve"> change). </w:t>
      </w:r>
    </w:p>
    <w:p w14:paraId="4DF31987" w14:textId="77777777" w:rsidR="00E208EF" w:rsidRPr="00E208EF" w:rsidRDefault="00E208EF" w:rsidP="00E208EF">
      <w:pPr>
        <w:numPr>
          <w:ilvl w:val="0"/>
          <w:numId w:val="12"/>
        </w:numPr>
        <w:tabs>
          <w:tab w:val="clear" w:pos="720"/>
          <w:tab w:val="clear" w:pos="1440"/>
          <w:tab w:val="clear" w:pos="2160"/>
          <w:tab w:val="clear" w:pos="2880"/>
          <w:tab w:val="clear" w:pos="4680"/>
          <w:tab w:val="clear" w:pos="5400"/>
          <w:tab w:val="clear" w:pos="9000"/>
        </w:tabs>
        <w:spacing w:after="200" w:line="315" w:lineRule="atLeast"/>
        <w:jc w:val="left"/>
        <w:textAlignment w:val="top"/>
        <w:rPr>
          <w:rFonts w:cs="Arial"/>
          <w:b/>
          <w:color w:val="000000" w:themeColor="text1"/>
          <w:szCs w:val="24"/>
          <w:lang w:val="en" w:eastAsia="en-GB"/>
        </w:rPr>
      </w:pPr>
      <w:r w:rsidRPr="00E208EF">
        <w:rPr>
          <w:rFonts w:cs="Arial"/>
          <w:color w:val="000000" w:themeColor="text1"/>
          <w:szCs w:val="24"/>
          <w:lang w:val="en" w:eastAsia="en-GB"/>
        </w:rPr>
        <w:t xml:space="preserve">When properties are traded regularly there is a requirement for regular valuations and consequent adjustments to accurately reflect value of fund when units are traded, could be multiple valuations required in any given year. </w:t>
      </w:r>
    </w:p>
    <w:p w14:paraId="022735E0" w14:textId="77777777" w:rsidR="00E208EF" w:rsidRPr="00E208EF" w:rsidRDefault="00E208EF" w:rsidP="00EC71A8">
      <w:pPr>
        <w:numPr>
          <w:ilvl w:val="0"/>
          <w:numId w:val="12"/>
        </w:numPr>
        <w:tabs>
          <w:tab w:val="clear" w:pos="720"/>
          <w:tab w:val="clear" w:pos="1440"/>
          <w:tab w:val="clear" w:pos="2160"/>
          <w:tab w:val="clear" w:pos="2880"/>
          <w:tab w:val="clear" w:pos="4680"/>
          <w:tab w:val="clear" w:pos="5400"/>
          <w:tab w:val="clear" w:pos="9000"/>
        </w:tabs>
        <w:spacing w:after="200" w:line="315" w:lineRule="atLeast"/>
        <w:ind w:hanging="294"/>
        <w:jc w:val="left"/>
        <w:textAlignment w:val="top"/>
        <w:rPr>
          <w:rFonts w:ascii="Calibri" w:hAnsi="Calibri" w:cs="Arial"/>
          <w:color w:val="000000" w:themeColor="text1"/>
          <w:sz w:val="22"/>
          <w:szCs w:val="24"/>
          <w:lang w:val="en" w:eastAsia="en-GB"/>
        </w:rPr>
      </w:pPr>
      <w:r w:rsidRPr="00E208EF">
        <w:rPr>
          <w:rFonts w:cs="Arial"/>
          <w:color w:val="000000" w:themeColor="text1"/>
          <w:szCs w:val="24"/>
          <w:lang w:val="en" w:eastAsia="en-GB"/>
        </w:rPr>
        <w:lastRenderedPageBreak/>
        <w:t xml:space="preserve">Trusts </w:t>
      </w:r>
      <w:proofErr w:type="spellStart"/>
      <w:r w:rsidRPr="00E208EF">
        <w:rPr>
          <w:rFonts w:cs="Arial"/>
          <w:color w:val="000000" w:themeColor="text1"/>
          <w:szCs w:val="24"/>
          <w:lang w:val="en" w:eastAsia="en-GB"/>
        </w:rPr>
        <w:t>LBTT</w:t>
      </w:r>
      <w:proofErr w:type="spellEnd"/>
      <w:r w:rsidRPr="00E208EF">
        <w:rPr>
          <w:rFonts w:cs="Arial"/>
          <w:color w:val="000000" w:themeColor="text1"/>
          <w:szCs w:val="24"/>
          <w:lang w:val="en" w:eastAsia="en-GB"/>
        </w:rPr>
        <w:t xml:space="preserve"> legislation refers to English and Welsh Trust laws.  Relief should use Scots law but any tests such as on chargeable interest should be similar in scope to </w:t>
      </w:r>
      <w:proofErr w:type="spellStart"/>
      <w:r w:rsidRPr="00E208EF">
        <w:rPr>
          <w:rFonts w:cs="Arial"/>
          <w:color w:val="000000" w:themeColor="text1"/>
          <w:szCs w:val="24"/>
          <w:lang w:val="en" w:eastAsia="en-GB"/>
        </w:rPr>
        <w:t>SDLT</w:t>
      </w:r>
      <w:proofErr w:type="spellEnd"/>
      <w:r w:rsidRPr="00E208EF">
        <w:rPr>
          <w:rFonts w:cs="Arial"/>
          <w:color w:val="000000" w:themeColor="text1"/>
          <w:szCs w:val="24"/>
          <w:lang w:val="en" w:eastAsia="en-GB"/>
        </w:rPr>
        <w:t>.</w:t>
      </w:r>
    </w:p>
    <w:p w14:paraId="27A2E6B8" w14:textId="77777777" w:rsidR="00C321EE" w:rsidRDefault="00C321EE" w:rsidP="003E43FD">
      <w:pPr>
        <w:shd w:val="clear" w:color="auto" w:fill="FFFFFF"/>
        <w:spacing w:line="240" w:lineRule="auto"/>
        <w:textAlignment w:val="top"/>
        <w:rPr>
          <w:rFonts w:cs="Arial"/>
          <w:b/>
          <w:sz w:val="28"/>
          <w:szCs w:val="28"/>
        </w:rPr>
      </w:pPr>
    </w:p>
    <w:p w14:paraId="0B6FB4A8" w14:textId="77777777" w:rsidR="003E43FD" w:rsidRDefault="003E43FD" w:rsidP="00184F3D">
      <w:pPr>
        <w:shd w:val="clear" w:color="auto" w:fill="FFFFFF"/>
        <w:spacing w:line="240" w:lineRule="auto"/>
        <w:textAlignment w:val="top"/>
        <w:rPr>
          <w:rFonts w:cs="Arial"/>
          <w:b/>
          <w:sz w:val="28"/>
          <w:szCs w:val="28"/>
        </w:rPr>
      </w:pPr>
    </w:p>
    <w:p w14:paraId="57723BBD" w14:textId="77777777" w:rsidR="00184F3D" w:rsidRPr="009B7615" w:rsidRDefault="00184F3D" w:rsidP="00B561C0"/>
    <w:sectPr w:rsidR="00184F3D" w:rsidRPr="009B76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583A" w14:textId="77777777" w:rsidR="00E34FCC" w:rsidRDefault="00E34FCC">
      <w:pPr>
        <w:spacing w:line="240" w:lineRule="auto"/>
      </w:pPr>
      <w:r>
        <w:separator/>
      </w:r>
    </w:p>
  </w:endnote>
  <w:endnote w:type="continuationSeparator" w:id="0">
    <w:p w14:paraId="203A197F" w14:textId="77777777" w:rsidR="00E34FCC" w:rsidRDefault="00E34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lan-Bold">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020293"/>
      <w:docPartObj>
        <w:docPartGallery w:val="Page Numbers (Bottom of Page)"/>
        <w:docPartUnique/>
      </w:docPartObj>
    </w:sdtPr>
    <w:sdtEndPr>
      <w:rPr>
        <w:noProof/>
      </w:rPr>
    </w:sdtEndPr>
    <w:sdtContent>
      <w:p w14:paraId="231365D0" w14:textId="6896C5B7" w:rsidR="00E65B43" w:rsidRPr="00D51EB1" w:rsidRDefault="00E65B43" w:rsidP="009E0C6B">
        <w:pPr>
          <w:pStyle w:val="Footer"/>
          <w:jc w:val="left"/>
          <w:rPr>
            <w:sz w:val="20"/>
          </w:rPr>
        </w:pPr>
        <w:r w:rsidRPr="00D51EB1">
          <w:rPr>
            <w:sz w:val="20"/>
          </w:rPr>
          <w:t xml:space="preserve">https://consult.gov.scot/fiscal-responsibility/seeding-relief/    </w:t>
        </w:r>
      </w:p>
      <w:p w14:paraId="051C2519" w14:textId="33289835" w:rsidR="00E65B43" w:rsidRDefault="00E65B43" w:rsidP="009E0C6B">
        <w:pPr>
          <w:pStyle w:val="Footer"/>
          <w:jc w:val="right"/>
        </w:pPr>
        <w:r>
          <w:t xml:space="preserve"> </w:t>
        </w:r>
        <w:r>
          <w:fldChar w:fldCharType="begin"/>
        </w:r>
        <w:r>
          <w:instrText xml:space="preserve"> PAGE   \* MERGEFORMAT </w:instrText>
        </w:r>
        <w:r>
          <w:fldChar w:fldCharType="separate"/>
        </w:r>
        <w:r w:rsidR="00D31269">
          <w:rPr>
            <w:noProof/>
          </w:rPr>
          <w:t>19</w:t>
        </w:r>
        <w:r>
          <w:rPr>
            <w:noProof/>
          </w:rPr>
          <w:fldChar w:fldCharType="end"/>
        </w:r>
      </w:p>
    </w:sdtContent>
  </w:sdt>
  <w:p w14:paraId="23C7E967" w14:textId="77777777" w:rsidR="00E65B43" w:rsidRDefault="00E6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798C" w14:textId="77777777" w:rsidR="00E34FCC" w:rsidRDefault="00E34FCC">
      <w:pPr>
        <w:spacing w:line="240" w:lineRule="auto"/>
      </w:pPr>
      <w:r>
        <w:separator/>
      </w:r>
    </w:p>
  </w:footnote>
  <w:footnote w:type="continuationSeparator" w:id="0">
    <w:p w14:paraId="319A6E80" w14:textId="77777777" w:rsidR="00E34FCC" w:rsidRDefault="00E34FCC">
      <w:pPr>
        <w:spacing w:line="240" w:lineRule="auto"/>
      </w:pPr>
      <w:r>
        <w:continuationSeparator/>
      </w:r>
    </w:p>
  </w:footnote>
  <w:footnote w:id="1">
    <w:p w14:paraId="1F647E77" w14:textId="45DB6F0E" w:rsidR="00E65B43" w:rsidRDefault="00E65B43" w:rsidP="005130CE">
      <w:pPr>
        <w:pStyle w:val="FootnoteText"/>
        <w:jc w:val="left"/>
      </w:pPr>
      <w:r>
        <w:rPr>
          <w:rStyle w:val="FootnoteReference"/>
        </w:rPr>
        <w:footnoteRef/>
      </w:r>
      <w:r>
        <w:t xml:space="preserve">  </w:t>
      </w:r>
      <w:hyperlink r:id="rId1" w:history="1">
        <w:r w:rsidRPr="00D51EB1">
          <w:rPr>
            <w:rStyle w:val="Hyperlink"/>
            <w:sz w:val="16"/>
            <w:szCs w:val="16"/>
          </w:rPr>
          <w:t>https://workplaceinsight.net/wp-content/uploads/2018/03/The_economic_contribution_of_the_commercial_property_sector_March_2018.._.pdf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782D60"/>
    <w:multiLevelType w:val="hybridMultilevel"/>
    <w:tmpl w:val="E5462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40DB4"/>
    <w:multiLevelType w:val="hybridMultilevel"/>
    <w:tmpl w:val="01BE254A"/>
    <w:lvl w:ilvl="0" w:tplc="00C048BE">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32F8D"/>
    <w:multiLevelType w:val="hybridMultilevel"/>
    <w:tmpl w:val="C914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C77CD"/>
    <w:multiLevelType w:val="hybridMultilevel"/>
    <w:tmpl w:val="89AC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8113D"/>
    <w:multiLevelType w:val="hybridMultilevel"/>
    <w:tmpl w:val="8416C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B364D"/>
    <w:multiLevelType w:val="hybridMultilevel"/>
    <w:tmpl w:val="EEAAB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7447C"/>
    <w:multiLevelType w:val="hybridMultilevel"/>
    <w:tmpl w:val="7BD03F40"/>
    <w:lvl w:ilvl="0" w:tplc="00C048BE">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8F6758"/>
    <w:multiLevelType w:val="hybridMultilevel"/>
    <w:tmpl w:val="E8DAACBE"/>
    <w:lvl w:ilvl="0" w:tplc="6F4056C6">
      <w:start w:val="1"/>
      <w:numFmt w:val="decimal"/>
      <w:lvlText w:val="%1."/>
      <w:lvlJc w:val="left"/>
      <w:pPr>
        <w:ind w:left="360" w:hanging="360"/>
      </w:pPr>
      <w:rPr>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F34A4"/>
    <w:multiLevelType w:val="hybridMultilevel"/>
    <w:tmpl w:val="5F8A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B0DED"/>
    <w:multiLevelType w:val="hybridMultilevel"/>
    <w:tmpl w:val="ECBEEC7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BA50346"/>
    <w:multiLevelType w:val="hybridMultilevel"/>
    <w:tmpl w:val="7F18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766FD"/>
    <w:multiLevelType w:val="hybridMultilevel"/>
    <w:tmpl w:val="9A3ED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1E1119"/>
    <w:multiLevelType w:val="hybridMultilevel"/>
    <w:tmpl w:val="59F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D2B43"/>
    <w:multiLevelType w:val="hybridMultilevel"/>
    <w:tmpl w:val="C382E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22E7E"/>
    <w:multiLevelType w:val="hybridMultilevel"/>
    <w:tmpl w:val="85CEBD94"/>
    <w:lvl w:ilvl="0" w:tplc="36248B88">
      <w:start w:val="2"/>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CFD6C5F"/>
    <w:multiLevelType w:val="hybridMultilevel"/>
    <w:tmpl w:val="694C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A6344"/>
    <w:multiLevelType w:val="hybridMultilevel"/>
    <w:tmpl w:val="5DB2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0"/>
  </w:num>
  <w:num w:numId="4">
    <w:abstractNumId w:val="0"/>
  </w:num>
  <w:num w:numId="5">
    <w:abstractNumId w:val="16"/>
  </w:num>
  <w:num w:numId="6">
    <w:abstractNumId w:val="0"/>
  </w:num>
  <w:num w:numId="7">
    <w:abstractNumId w:val="17"/>
  </w:num>
  <w:num w:numId="8">
    <w:abstractNumId w:val="12"/>
  </w:num>
  <w:num w:numId="9">
    <w:abstractNumId w:val="6"/>
  </w:num>
  <w:num w:numId="10">
    <w:abstractNumId w:val="8"/>
  </w:num>
  <w:num w:numId="11">
    <w:abstractNumId w:val="9"/>
  </w:num>
  <w:num w:numId="12">
    <w:abstractNumId w:val="18"/>
  </w:num>
  <w:num w:numId="13">
    <w:abstractNumId w:val="11"/>
  </w:num>
  <w:num w:numId="14">
    <w:abstractNumId w:val="15"/>
  </w:num>
  <w:num w:numId="15">
    <w:abstractNumId w:val="10"/>
  </w:num>
  <w:num w:numId="16">
    <w:abstractNumId w:val="3"/>
  </w:num>
  <w:num w:numId="17">
    <w:abstractNumId w:val="1"/>
  </w:num>
  <w:num w:numId="18">
    <w:abstractNumId w:val="5"/>
  </w:num>
  <w:num w:numId="19">
    <w:abstractNumId w:val="2"/>
  </w:num>
  <w:num w:numId="20">
    <w:abstractNumId w:val="13"/>
  </w:num>
  <w:num w:numId="21">
    <w:abstractNumId w:val="7"/>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Z6UupHB9xBdwTObpDi4Dyp6EH18j8ebBY9qgsTQzyTE8B6AyNlpsHKZKeLenKdG75kazKkn1uEAXHTHT4UMmvA==" w:salt="uiXhMcxB/s0qnEmPxgKeAw=="/>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CA"/>
    <w:rsid w:val="00021CF2"/>
    <w:rsid w:val="00027C27"/>
    <w:rsid w:val="00052EC2"/>
    <w:rsid w:val="00057628"/>
    <w:rsid w:val="00066391"/>
    <w:rsid w:val="000C0CF4"/>
    <w:rsid w:val="000C6680"/>
    <w:rsid w:val="000D427B"/>
    <w:rsid w:val="000D708E"/>
    <w:rsid w:val="000E401C"/>
    <w:rsid w:val="001018BC"/>
    <w:rsid w:val="00140C16"/>
    <w:rsid w:val="00155A99"/>
    <w:rsid w:val="00155D57"/>
    <w:rsid w:val="00163417"/>
    <w:rsid w:val="00163BF0"/>
    <w:rsid w:val="0017671B"/>
    <w:rsid w:val="001819D7"/>
    <w:rsid w:val="00184F3D"/>
    <w:rsid w:val="00191189"/>
    <w:rsid w:val="001B7411"/>
    <w:rsid w:val="001D4C8C"/>
    <w:rsid w:val="001F124E"/>
    <w:rsid w:val="0024161F"/>
    <w:rsid w:val="00263EF1"/>
    <w:rsid w:val="00281579"/>
    <w:rsid w:val="002A1E96"/>
    <w:rsid w:val="002A637F"/>
    <w:rsid w:val="002A73DE"/>
    <w:rsid w:val="002B12D4"/>
    <w:rsid w:val="002D3C3F"/>
    <w:rsid w:val="002E2CC4"/>
    <w:rsid w:val="00306C61"/>
    <w:rsid w:val="00340A67"/>
    <w:rsid w:val="00363BD9"/>
    <w:rsid w:val="003646DB"/>
    <w:rsid w:val="00372EB7"/>
    <w:rsid w:val="0037582B"/>
    <w:rsid w:val="003A2098"/>
    <w:rsid w:val="003C483E"/>
    <w:rsid w:val="003E43FD"/>
    <w:rsid w:val="003E5160"/>
    <w:rsid w:val="00414C16"/>
    <w:rsid w:val="00450D12"/>
    <w:rsid w:val="004B0BF7"/>
    <w:rsid w:val="004B57B9"/>
    <w:rsid w:val="004C68E0"/>
    <w:rsid w:val="004F42B5"/>
    <w:rsid w:val="00502C00"/>
    <w:rsid w:val="005130CE"/>
    <w:rsid w:val="005157ED"/>
    <w:rsid w:val="005600FA"/>
    <w:rsid w:val="00565282"/>
    <w:rsid w:val="005724C9"/>
    <w:rsid w:val="00590DE2"/>
    <w:rsid w:val="005919B6"/>
    <w:rsid w:val="005A25D2"/>
    <w:rsid w:val="005A3A1C"/>
    <w:rsid w:val="005C5CE4"/>
    <w:rsid w:val="00624E39"/>
    <w:rsid w:val="0063128C"/>
    <w:rsid w:val="006449A5"/>
    <w:rsid w:val="006552C6"/>
    <w:rsid w:val="006650D3"/>
    <w:rsid w:val="0068551D"/>
    <w:rsid w:val="006878D5"/>
    <w:rsid w:val="006B10AA"/>
    <w:rsid w:val="006C15CC"/>
    <w:rsid w:val="006C2817"/>
    <w:rsid w:val="006E6CB3"/>
    <w:rsid w:val="00701A48"/>
    <w:rsid w:val="00722F6C"/>
    <w:rsid w:val="00736FD2"/>
    <w:rsid w:val="00737BBD"/>
    <w:rsid w:val="00741496"/>
    <w:rsid w:val="0077139F"/>
    <w:rsid w:val="007B1560"/>
    <w:rsid w:val="007B330D"/>
    <w:rsid w:val="007B699F"/>
    <w:rsid w:val="007D46FD"/>
    <w:rsid w:val="007D72CA"/>
    <w:rsid w:val="00800720"/>
    <w:rsid w:val="00816D9C"/>
    <w:rsid w:val="00823767"/>
    <w:rsid w:val="00836CFD"/>
    <w:rsid w:val="00857548"/>
    <w:rsid w:val="00865D06"/>
    <w:rsid w:val="00866AA2"/>
    <w:rsid w:val="008811E6"/>
    <w:rsid w:val="008975EF"/>
    <w:rsid w:val="00897A8C"/>
    <w:rsid w:val="008A1E48"/>
    <w:rsid w:val="008C2224"/>
    <w:rsid w:val="008D73BB"/>
    <w:rsid w:val="008E5792"/>
    <w:rsid w:val="00910E27"/>
    <w:rsid w:val="0093292C"/>
    <w:rsid w:val="009612C9"/>
    <w:rsid w:val="0099270D"/>
    <w:rsid w:val="00992CC9"/>
    <w:rsid w:val="009A2A44"/>
    <w:rsid w:val="009B7615"/>
    <w:rsid w:val="009E0C6B"/>
    <w:rsid w:val="009F5A75"/>
    <w:rsid w:val="00A1078D"/>
    <w:rsid w:val="00A10D24"/>
    <w:rsid w:val="00A20AC9"/>
    <w:rsid w:val="00A23F2D"/>
    <w:rsid w:val="00A33FD8"/>
    <w:rsid w:val="00A34C1B"/>
    <w:rsid w:val="00A50FBA"/>
    <w:rsid w:val="00A94550"/>
    <w:rsid w:val="00AA1F50"/>
    <w:rsid w:val="00AB57AC"/>
    <w:rsid w:val="00AC03E8"/>
    <w:rsid w:val="00AC5B17"/>
    <w:rsid w:val="00AD3BF3"/>
    <w:rsid w:val="00AE629A"/>
    <w:rsid w:val="00B024AA"/>
    <w:rsid w:val="00B14E20"/>
    <w:rsid w:val="00B1740A"/>
    <w:rsid w:val="00B51BDC"/>
    <w:rsid w:val="00B561C0"/>
    <w:rsid w:val="00B773CE"/>
    <w:rsid w:val="00B81709"/>
    <w:rsid w:val="00BA0B6C"/>
    <w:rsid w:val="00BA2CEB"/>
    <w:rsid w:val="00BB449F"/>
    <w:rsid w:val="00BC2B15"/>
    <w:rsid w:val="00BF2D0F"/>
    <w:rsid w:val="00C02851"/>
    <w:rsid w:val="00C10B99"/>
    <w:rsid w:val="00C217B1"/>
    <w:rsid w:val="00C321EE"/>
    <w:rsid w:val="00C378E2"/>
    <w:rsid w:val="00C4674C"/>
    <w:rsid w:val="00C753F1"/>
    <w:rsid w:val="00C75EB9"/>
    <w:rsid w:val="00C8229C"/>
    <w:rsid w:val="00C87A3C"/>
    <w:rsid w:val="00C91823"/>
    <w:rsid w:val="00C91AA8"/>
    <w:rsid w:val="00C91D85"/>
    <w:rsid w:val="00CF5E7E"/>
    <w:rsid w:val="00D008AB"/>
    <w:rsid w:val="00D10676"/>
    <w:rsid w:val="00D163AE"/>
    <w:rsid w:val="00D31269"/>
    <w:rsid w:val="00D51EB1"/>
    <w:rsid w:val="00D64F9F"/>
    <w:rsid w:val="00D86C48"/>
    <w:rsid w:val="00D877E4"/>
    <w:rsid w:val="00DA297B"/>
    <w:rsid w:val="00DB2D1B"/>
    <w:rsid w:val="00DB3207"/>
    <w:rsid w:val="00DD7CEB"/>
    <w:rsid w:val="00DF2DCB"/>
    <w:rsid w:val="00DF6B87"/>
    <w:rsid w:val="00E208EF"/>
    <w:rsid w:val="00E24678"/>
    <w:rsid w:val="00E26E58"/>
    <w:rsid w:val="00E34FCC"/>
    <w:rsid w:val="00E47E28"/>
    <w:rsid w:val="00E53D45"/>
    <w:rsid w:val="00E60020"/>
    <w:rsid w:val="00E65B43"/>
    <w:rsid w:val="00EA6573"/>
    <w:rsid w:val="00EB135B"/>
    <w:rsid w:val="00EC5AED"/>
    <w:rsid w:val="00EC71A8"/>
    <w:rsid w:val="00EE4A25"/>
    <w:rsid w:val="00EF06FD"/>
    <w:rsid w:val="00F118EF"/>
    <w:rsid w:val="00F20AE6"/>
    <w:rsid w:val="00F43460"/>
    <w:rsid w:val="00F74C49"/>
    <w:rsid w:val="00F94194"/>
    <w:rsid w:val="00FA4BC1"/>
    <w:rsid w:val="00FD47B2"/>
    <w:rsid w:val="00FD4ECA"/>
    <w:rsid w:val="00FE1A7C"/>
    <w:rsid w:val="00FE3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53E39"/>
  <w15:chartTrackingRefBased/>
  <w15:docId w15:val="{916F9994-09EA-46D5-9FEB-03FBC763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E6"/>
    <w:pPr>
      <w:tabs>
        <w:tab w:val="left" w:pos="720"/>
        <w:tab w:val="left" w:pos="1440"/>
        <w:tab w:val="left" w:pos="2160"/>
        <w:tab w:val="left" w:pos="2880"/>
        <w:tab w:val="left" w:pos="4680"/>
        <w:tab w:val="left" w:pos="5400"/>
        <w:tab w:val="right" w:pos="9000"/>
      </w:tabs>
      <w:spacing w:line="240" w:lineRule="atLeast"/>
      <w:jc w:val="both"/>
    </w:pPr>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8811E6"/>
    <w:pPr>
      <w:ind w:left="720"/>
      <w:contextualSpacing/>
    </w:pPr>
  </w:style>
  <w:style w:type="paragraph" w:customStyle="1" w:styleId="Default">
    <w:name w:val="Default"/>
    <w:rsid w:val="008811E6"/>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8811E6"/>
    <w:pPr>
      <w:tabs>
        <w:tab w:val="left" w:pos="720"/>
        <w:tab w:val="left" w:pos="1440"/>
        <w:tab w:val="left" w:pos="2160"/>
        <w:tab w:val="left" w:pos="2880"/>
        <w:tab w:val="left" w:pos="4680"/>
        <w:tab w:val="left" w:pos="5400"/>
        <w:tab w:val="right" w:pos="9000"/>
      </w:tabs>
      <w:jc w:val="both"/>
    </w:pPr>
    <w:rPr>
      <w:rFonts w:ascii="Arial" w:hAnsi="Arial" w:cs="Times New Roman"/>
      <w:sz w:val="24"/>
      <w:szCs w:val="20"/>
    </w:rPr>
  </w:style>
  <w:style w:type="character" w:styleId="CommentReference">
    <w:name w:val="annotation reference"/>
    <w:basedOn w:val="DefaultParagraphFont"/>
    <w:uiPriority w:val="99"/>
    <w:semiHidden/>
    <w:unhideWhenUsed/>
    <w:rsid w:val="00D877E4"/>
    <w:rPr>
      <w:sz w:val="16"/>
      <w:szCs w:val="16"/>
    </w:rPr>
  </w:style>
  <w:style w:type="paragraph" w:styleId="CommentText">
    <w:name w:val="annotation text"/>
    <w:basedOn w:val="Normal"/>
    <w:link w:val="CommentTextChar"/>
    <w:uiPriority w:val="99"/>
    <w:semiHidden/>
    <w:unhideWhenUsed/>
    <w:rsid w:val="00D877E4"/>
    <w:pPr>
      <w:spacing w:line="240" w:lineRule="auto"/>
    </w:pPr>
    <w:rPr>
      <w:sz w:val="20"/>
    </w:rPr>
  </w:style>
  <w:style w:type="character" w:customStyle="1" w:styleId="CommentTextChar">
    <w:name w:val="Comment Text Char"/>
    <w:basedOn w:val="DefaultParagraphFont"/>
    <w:link w:val="CommentText"/>
    <w:uiPriority w:val="99"/>
    <w:semiHidden/>
    <w:rsid w:val="00D877E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877E4"/>
    <w:rPr>
      <w:b/>
      <w:bCs/>
    </w:rPr>
  </w:style>
  <w:style w:type="character" w:customStyle="1" w:styleId="CommentSubjectChar">
    <w:name w:val="Comment Subject Char"/>
    <w:basedOn w:val="CommentTextChar"/>
    <w:link w:val="CommentSubject"/>
    <w:uiPriority w:val="99"/>
    <w:semiHidden/>
    <w:rsid w:val="00D877E4"/>
    <w:rPr>
      <w:rFonts w:ascii="Arial" w:hAnsi="Arial" w:cs="Times New Roman"/>
      <w:b/>
      <w:bCs/>
      <w:sz w:val="20"/>
      <w:szCs w:val="20"/>
    </w:rPr>
  </w:style>
  <w:style w:type="paragraph" w:styleId="BalloonText">
    <w:name w:val="Balloon Text"/>
    <w:basedOn w:val="Normal"/>
    <w:link w:val="BalloonTextChar"/>
    <w:uiPriority w:val="99"/>
    <w:semiHidden/>
    <w:unhideWhenUsed/>
    <w:rsid w:val="00D877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7E4"/>
    <w:rPr>
      <w:rFonts w:ascii="Segoe UI" w:hAnsi="Segoe UI" w:cs="Segoe UI"/>
      <w:sz w:val="18"/>
      <w:szCs w:val="18"/>
    </w:rPr>
  </w:style>
  <w:style w:type="paragraph" w:styleId="FootnoteText">
    <w:name w:val="footnote text"/>
    <w:basedOn w:val="Normal"/>
    <w:link w:val="FootnoteTextChar"/>
    <w:uiPriority w:val="99"/>
    <w:semiHidden/>
    <w:unhideWhenUsed/>
    <w:rsid w:val="005130CE"/>
    <w:pPr>
      <w:spacing w:line="240" w:lineRule="auto"/>
    </w:pPr>
    <w:rPr>
      <w:sz w:val="20"/>
    </w:rPr>
  </w:style>
  <w:style w:type="character" w:customStyle="1" w:styleId="FootnoteTextChar">
    <w:name w:val="Footnote Text Char"/>
    <w:basedOn w:val="DefaultParagraphFont"/>
    <w:link w:val="FootnoteText"/>
    <w:uiPriority w:val="99"/>
    <w:semiHidden/>
    <w:rsid w:val="005130CE"/>
    <w:rPr>
      <w:rFonts w:ascii="Arial" w:hAnsi="Arial" w:cs="Times New Roman"/>
      <w:sz w:val="20"/>
      <w:szCs w:val="20"/>
    </w:rPr>
  </w:style>
  <w:style w:type="character" w:styleId="FootnoteReference">
    <w:name w:val="footnote reference"/>
    <w:basedOn w:val="DefaultParagraphFont"/>
    <w:uiPriority w:val="99"/>
    <w:semiHidden/>
    <w:unhideWhenUsed/>
    <w:rsid w:val="005130CE"/>
    <w:rPr>
      <w:vertAlign w:val="superscript"/>
    </w:rPr>
  </w:style>
  <w:style w:type="character" w:styleId="Hyperlink">
    <w:name w:val="Hyperlink"/>
    <w:basedOn w:val="DefaultParagraphFont"/>
    <w:uiPriority w:val="99"/>
    <w:unhideWhenUsed/>
    <w:rsid w:val="005130CE"/>
    <w:rPr>
      <w:color w:val="0563C1" w:themeColor="hyperlink"/>
      <w:u w:val="single"/>
    </w:rPr>
  </w:style>
  <w:style w:type="character" w:styleId="FollowedHyperlink">
    <w:name w:val="FollowedHyperlink"/>
    <w:basedOn w:val="DefaultParagraphFont"/>
    <w:uiPriority w:val="99"/>
    <w:semiHidden/>
    <w:unhideWhenUsed/>
    <w:rsid w:val="00E246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7818">
      <w:bodyDiv w:val="1"/>
      <w:marLeft w:val="0"/>
      <w:marRight w:val="0"/>
      <w:marTop w:val="0"/>
      <w:marBottom w:val="0"/>
      <w:divBdr>
        <w:top w:val="none" w:sz="0" w:space="0" w:color="auto"/>
        <w:left w:val="none" w:sz="0" w:space="0" w:color="auto"/>
        <w:bottom w:val="none" w:sz="0" w:space="0" w:color="auto"/>
        <w:right w:val="none" w:sz="0" w:space="0" w:color="auto"/>
      </w:divBdr>
    </w:div>
    <w:div w:id="11248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orkplaceinsight.net/wp-content/uploads/2018/03/The_economic_contribution_of_the_commercial_property_sector_March_2018..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A12C1-C418-416E-B1DB-07069472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5286</Words>
  <Characters>30136</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I (Ian)</dc:creator>
  <cp:keywords/>
  <dc:description/>
  <cp:lastModifiedBy>Kerrouchi D (David)</cp:lastModifiedBy>
  <cp:revision>3</cp:revision>
  <cp:lastPrinted>2018-11-21T10:29:00Z</cp:lastPrinted>
  <dcterms:created xsi:type="dcterms:W3CDTF">2018-12-12T16:52:00Z</dcterms:created>
  <dcterms:modified xsi:type="dcterms:W3CDTF">2018-12-12T17:04:00Z</dcterms:modified>
</cp:coreProperties>
</file>