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2B" w:rsidRDefault="00B9522B" w:rsidP="00B9522B">
      <w:pPr>
        <w:autoSpaceDE w:val="0"/>
        <w:autoSpaceDN w:val="0"/>
        <w:adjustRightInd w:val="0"/>
        <w:spacing w:after="0" w:line="240" w:lineRule="auto"/>
        <w:rPr>
          <w:rFonts w:ascii="Clan-Bold" w:hAnsi="Clan-Bold" w:cs="Clan-Bold"/>
          <w:b/>
          <w:bCs/>
          <w:sz w:val="64"/>
          <w:szCs w:val="64"/>
        </w:rPr>
      </w:pPr>
    </w:p>
    <w:p w:rsidR="00B9522B" w:rsidRDefault="00F01FCF" w:rsidP="00B9522B">
      <w:pPr>
        <w:autoSpaceDE w:val="0"/>
        <w:autoSpaceDN w:val="0"/>
        <w:adjustRightInd w:val="0"/>
        <w:spacing w:after="0" w:line="240" w:lineRule="auto"/>
        <w:rPr>
          <w:rFonts w:ascii="Clan-Bold" w:hAnsi="Clan-Bold" w:cs="Clan-Bold"/>
          <w:b/>
          <w:bCs/>
          <w:sz w:val="64"/>
          <w:szCs w:val="64"/>
        </w:rPr>
      </w:pPr>
      <w:r w:rsidRPr="00FA5E9B">
        <w:rPr>
          <w:noProof/>
          <w:lang w:val="en-US"/>
        </w:rPr>
        <w:drawing>
          <wp:inline distT="0" distB="0" distL="0" distR="0">
            <wp:extent cx="257175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838325"/>
                    </a:xfrm>
                    <a:prstGeom prst="rect">
                      <a:avLst/>
                    </a:prstGeom>
                    <a:solidFill>
                      <a:srgbClr val="FFFFFF"/>
                    </a:solidFill>
                    <a:ln>
                      <a:noFill/>
                    </a:ln>
                  </pic:spPr>
                </pic:pic>
              </a:graphicData>
            </a:graphic>
          </wp:inline>
        </w:drawing>
      </w:r>
    </w:p>
    <w:p w:rsidR="00B9522B" w:rsidRDefault="00B9522B" w:rsidP="00B9522B">
      <w:pPr>
        <w:autoSpaceDE w:val="0"/>
        <w:autoSpaceDN w:val="0"/>
        <w:adjustRightInd w:val="0"/>
        <w:spacing w:after="0" w:line="240" w:lineRule="auto"/>
        <w:rPr>
          <w:rFonts w:ascii="Clan-Bold" w:hAnsi="Clan-Bold" w:cs="Clan-Bold"/>
          <w:b/>
          <w:bCs/>
          <w:sz w:val="64"/>
          <w:szCs w:val="64"/>
        </w:rPr>
      </w:pPr>
    </w:p>
    <w:p w:rsidR="00744FAA" w:rsidRDefault="00744FAA" w:rsidP="00A715E9">
      <w:pPr>
        <w:autoSpaceDE w:val="0"/>
        <w:autoSpaceDN w:val="0"/>
        <w:adjustRightInd w:val="0"/>
        <w:spacing w:after="0" w:line="240" w:lineRule="auto"/>
        <w:rPr>
          <w:rFonts w:ascii="Clan-Bold" w:hAnsi="Clan-Bold" w:cs="Clan-Bold"/>
          <w:b/>
          <w:bCs/>
          <w:sz w:val="64"/>
          <w:szCs w:val="64"/>
        </w:rPr>
      </w:pPr>
    </w:p>
    <w:p w:rsidR="00744FAA" w:rsidRDefault="00744FAA" w:rsidP="00A715E9">
      <w:pPr>
        <w:autoSpaceDE w:val="0"/>
        <w:autoSpaceDN w:val="0"/>
        <w:adjustRightInd w:val="0"/>
        <w:spacing w:after="0" w:line="240" w:lineRule="auto"/>
        <w:rPr>
          <w:rFonts w:ascii="Clan-Bold" w:hAnsi="Clan-Bold" w:cs="Clan-Bold"/>
          <w:b/>
          <w:bCs/>
          <w:sz w:val="64"/>
          <w:szCs w:val="64"/>
        </w:rPr>
      </w:pPr>
    </w:p>
    <w:p w:rsidR="00A715E9" w:rsidRDefault="00A715E9" w:rsidP="00A715E9">
      <w:pPr>
        <w:autoSpaceDE w:val="0"/>
        <w:autoSpaceDN w:val="0"/>
        <w:adjustRightInd w:val="0"/>
        <w:spacing w:after="0" w:line="240" w:lineRule="auto"/>
        <w:rPr>
          <w:rFonts w:ascii="Clan-Bold" w:hAnsi="Clan-Bold" w:cs="Clan-Bold"/>
          <w:b/>
          <w:bCs/>
          <w:sz w:val="64"/>
          <w:szCs w:val="64"/>
        </w:rPr>
      </w:pPr>
      <w:r>
        <w:rPr>
          <w:rFonts w:ascii="Clan-Bold" w:hAnsi="Clan-Bold" w:cs="Clan-Bold"/>
          <w:b/>
          <w:bCs/>
          <w:sz w:val="64"/>
          <w:szCs w:val="64"/>
        </w:rPr>
        <w:t>Response to:</w:t>
      </w:r>
    </w:p>
    <w:p w:rsidR="00A715E9" w:rsidRPr="00744FAA" w:rsidRDefault="00A715E9" w:rsidP="00A715E9">
      <w:pPr>
        <w:autoSpaceDE w:val="0"/>
        <w:autoSpaceDN w:val="0"/>
        <w:adjustRightInd w:val="0"/>
        <w:spacing w:after="0" w:line="240" w:lineRule="auto"/>
        <w:rPr>
          <w:rFonts w:ascii="Clan-Bold" w:hAnsi="Clan-Bold" w:cs="Clan-Bold"/>
          <w:b/>
          <w:bCs/>
          <w:sz w:val="48"/>
          <w:szCs w:val="48"/>
          <w:lang w:val="en-US" w:eastAsia="en-GB"/>
        </w:rPr>
      </w:pPr>
      <w:r w:rsidRPr="00744FAA">
        <w:rPr>
          <w:rFonts w:ascii="Clan-Bold" w:hAnsi="Clan-Bold" w:cs="Clan-Bold"/>
          <w:b/>
          <w:bCs/>
          <w:sz w:val="48"/>
          <w:szCs w:val="48"/>
        </w:rPr>
        <w:t xml:space="preserve">Scottish Government Consultation </w:t>
      </w:r>
      <w:r w:rsidRPr="00744FAA">
        <w:rPr>
          <w:rFonts w:ascii="Clan-Bold" w:hAnsi="Clan-Bold" w:cs="Clan-Bold"/>
          <w:b/>
          <w:bCs/>
          <w:sz w:val="48"/>
          <w:szCs w:val="48"/>
          <w:lang w:val="en-US" w:eastAsia="en-GB"/>
        </w:rPr>
        <w:t>on Extending</w:t>
      </w:r>
      <w:r w:rsidR="00744FAA">
        <w:rPr>
          <w:rFonts w:ascii="Clan-Bold" w:hAnsi="Clan-Bold" w:cs="Clan-Bold"/>
          <w:b/>
          <w:bCs/>
          <w:sz w:val="48"/>
          <w:szCs w:val="48"/>
          <w:lang w:val="en-US" w:eastAsia="en-GB"/>
        </w:rPr>
        <w:t xml:space="preserve"> </w:t>
      </w:r>
      <w:r w:rsidRPr="00744FAA">
        <w:rPr>
          <w:rFonts w:ascii="Clan-Bold" w:hAnsi="Clan-Bold" w:cs="Clan-Bold"/>
          <w:b/>
          <w:bCs/>
          <w:sz w:val="48"/>
          <w:szCs w:val="48"/>
          <w:lang w:val="en-US" w:eastAsia="en-GB"/>
        </w:rPr>
        <w:t>Coverage of the Freedom of</w:t>
      </w:r>
    </w:p>
    <w:p w:rsidR="0002121F" w:rsidRPr="00744FAA" w:rsidRDefault="00A715E9" w:rsidP="00744FAA">
      <w:pPr>
        <w:autoSpaceDE w:val="0"/>
        <w:autoSpaceDN w:val="0"/>
        <w:adjustRightInd w:val="0"/>
        <w:spacing w:after="0" w:line="240" w:lineRule="auto"/>
        <w:rPr>
          <w:rFonts w:eastAsia="Times New Roman"/>
          <w:sz w:val="48"/>
          <w:szCs w:val="48"/>
          <w:lang w:eastAsia="en-GB"/>
        </w:rPr>
      </w:pPr>
      <w:r w:rsidRPr="00744FAA">
        <w:rPr>
          <w:rFonts w:ascii="Clan-Bold" w:hAnsi="Clan-Bold" w:cs="Clan-Bold"/>
          <w:b/>
          <w:bCs/>
          <w:sz w:val="48"/>
          <w:szCs w:val="48"/>
          <w:lang w:val="en-US" w:eastAsia="en-GB"/>
        </w:rPr>
        <w:t>Information (Scotland) Act</w:t>
      </w:r>
      <w:r w:rsidR="00744FAA">
        <w:rPr>
          <w:rFonts w:ascii="Clan-Bold" w:hAnsi="Clan-Bold" w:cs="Clan-Bold"/>
          <w:b/>
          <w:bCs/>
          <w:sz w:val="48"/>
          <w:szCs w:val="48"/>
          <w:lang w:val="en-US" w:eastAsia="en-GB"/>
        </w:rPr>
        <w:t xml:space="preserve"> </w:t>
      </w:r>
      <w:r w:rsidRPr="00744FAA">
        <w:rPr>
          <w:rFonts w:ascii="Clan-Bold" w:hAnsi="Clan-Bold" w:cs="Clan-Bold"/>
          <w:b/>
          <w:bCs/>
          <w:sz w:val="48"/>
          <w:szCs w:val="48"/>
          <w:lang w:val="en-US" w:eastAsia="en-GB"/>
        </w:rPr>
        <w:t>2002 to Registered Social</w:t>
      </w:r>
      <w:r w:rsidR="00744FAA">
        <w:rPr>
          <w:rFonts w:ascii="Clan-Bold" w:hAnsi="Clan-Bold" w:cs="Clan-Bold"/>
          <w:b/>
          <w:bCs/>
          <w:sz w:val="48"/>
          <w:szCs w:val="48"/>
          <w:lang w:val="en-US" w:eastAsia="en-GB"/>
        </w:rPr>
        <w:t xml:space="preserve"> </w:t>
      </w:r>
      <w:r w:rsidRPr="00744FAA">
        <w:rPr>
          <w:rFonts w:ascii="Clan-Bold" w:hAnsi="Clan-Bold" w:cs="Clan-Bold"/>
          <w:b/>
          <w:bCs/>
          <w:sz w:val="48"/>
          <w:szCs w:val="48"/>
          <w:lang w:val="en-US" w:eastAsia="en-GB"/>
        </w:rPr>
        <w:t>Landlords</w:t>
      </w:r>
    </w:p>
    <w:p w:rsidR="0002121F" w:rsidRDefault="0002121F" w:rsidP="00B9522B">
      <w:pPr>
        <w:spacing w:after="0" w:line="240" w:lineRule="auto"/>
        <w:rPr>
          <w:rFonts w:eastAsia="Times New Roman"/>
          <w:szCs w:val="24"/>
          <w:lang w:eastAsia="en-GB"/>
        </w:rPr>
      </w:pPr>
    </w:p>
    <w:p w:rsidR="0002121F" w:rsidRDefault="0002121F" w:rsidP="00B9522B">
      <w:pPr>
        <w:spacing w:after="0" w:line="240" w:lineRule="auto"/>
        <w:rPr>
          <w:rFonts w:eastAsia="Times New Roman"/>
          <w:szCs w:val="24"/>
          <w:lang w:eastAsia="en-GB"/>
        </w:rPr>
      </w:pPr>
    </w:p>
    <w:p w:rsidR="0002121F" w:rsidRDefault="0002121F" w:rsidP="00B9522B">
      <w:pPr>
        <w:spacing w:after="0" w:line="240" w:lineRule="auto"/>
        <w:rPr>
          <w:rFonts w:eastAsia="Times New Roman"/>
          <w:szCs w:val="24"/>
          <w:lang w:eastAsia="en-GB"/>
        </w:rPr>
      </w:pPr>
    </w:p>
    <w:p w:rsidR="009728E7" w:rsidRDefault="009728E7" w:rsidP="00B9522B">
      <w:pPr>
        <w:spacing w:after="0" w:line="240" w:lineRule="auto"/>
        <w:rPr>
          <w:rFonts w:eastAsia="Times New Roman"/>
          <w:szCs w:val="24"/>
          <w:lang w:eastAsia="en-GB"/>
        </w:rPr>
      </w:pPr>
    </w:p>
    <w:p w:rsidR="009728E7" w:rsidRDefault="009728E7" w:rsidP="00B9522B">
      <w:pPr>
        <w:spacing w:after="0" w:line="240" w:lineRule="auto"/>
        <w:rPr>
          <w:rFonts w:eastAsia="Times New Roman"/>
          <w:szCs w:val="24"/>
          <w:lang w:eastAsia="en-GB"/>
        </w:rPr>
      </w:pPr>
    </w:p>
    <w:p w:rsidR="00B9522B" w:rsidRDefault="00B9522B" w:rsidP="00B9522B">
      <w:pPr>
        <w:spacing w:after="0" w:line="240" w:lineRule="auto"/>
        <w:rPr>
          <w:rFonts w:ascii="Times New Roman" w:eastAsia="Times New Roman" w:hAnsi="Times New Roman"/>
          <w:szCs w:val="24"/>
          <w:lang w:eastAsia="en-GB"/>
        </w:rPr>
      </w:pPr>
      <w:r>
        <w:rPr>
          <w:rFonts w:eastAsia="Times New Roman"/>
          <w:szCs w:val="24"/>
          <w:lang w:eastAsia="en-GB"/>
        </w:rPr>
        <w:t>Campaign for Freedom of Information in Scotland</w:t>
      </w:r>
    </w:p>
    <w:p w:rsidR="00B9522B" w:rsidRDefault="00B9522B" w:rsidP="00B9522B">
      <w:pPr>
        <w:spacing w:after="0" w:line="240" w:lineRule="auto"/>
        <w:rPr>
          <w:rFonts w:eastAsia="Times New Roman" w:cs="Arial"/>
          <w:szCs w:val="24"/>
          <w:lang w:eastAsia="en-GB"/>
        </w:rPr>
      </w:pPr>
      <w:r>
        <w:rPr>
          <w:rFonts w:eastAsia="Times New Roman"/>
          <w:szCs w:val="24"/>
          <w:lang w:eastAsia="en-GB"/>
        </w:rPr>
        <w:t xml:space="preserve">Abbey Business Centre </w:t>
      </w:r>
    </w:p>
    <w:p w:rsidR="00B9522B" w:rsidRDefault="00B9522B" w:rsidP="00B9522B">
      <w:pPr>
        <w:spacing w:after="0" w:line="240" w:lineRule="auto"/>
        <w:rPr>
          <w:rFonts w:eastAsia="Times New Roman"/>
          <w:szCs w:val="24"/>
          <w:lang w:eastAsia="en-GB"/>
        </w:rPr>
      </w:pPr>
      <w:r>
        <w:rPr>
          <w:rFonts w:eastAsia="Times New Roman"/>
          <w:szCs w:val="24"/>
          <w:lang w:eastAsia="en-GB"/>
        </w:rPr>
        <w:t xml:space="preserve">20-23 Woodside Place </w:t>
      </w:r>
    </w:p>
    <w:p w:rsidR="00B9522B" w:rsidRDefault="00B9522B" w:rsidP="00B9522B">
      <w:pPr>
        <w:spacing w:after="0" w:line="240" w:lineRule="auto"/>
        <w:rPr>
          <w:rFonts w:eastAsia="Times New Roman"/>
          <w:szCs w:val="24"/>
          <w:lang w:eastAsia="en-GB"/>
        </w:rPr>
      </w:pPr>
      <w:r>
        <w:rPr>
          <w:rFonts w:eastAsia="Times New Roman"/>
          <w:szCs w:val="24"/>
          <w:lang w:eastAsia="en-GB"/>
        </w:rPr>
        <w:t>Glasgow G3 7QF</w:t>
      </w:r>
    </w:p>
    <w:p w:rsidR="00551456" w:rsidRDefault="007D0236" w:rsidP="009728E7">
      <w:pPr>
        <w:spacing w:after="0" w:line="240" w:lineRule="auto"/>
        <w:rPr>
          <w:rFonts w:eastAsia="Times New Roman"/>
          <w:szCs w:val="24"/>
          <w:lang w:eastAsia="en-GB"/>
        </w:rPr>
      </w:pPr>
      <w:hyperlink r:id="rId9" w:history="1">
        <w:r w:rsidR="009728E7">
          <w:rPr>
            <w:rStyle w:val="Hyperlink"/>
            <w:rFonts w:eastAsia="Times New Roman"/>
            <w:szCs w:val="24"/>
            <w:lang w:eastAsia="en-GB"/>
          </w:rPr>
          <w:t>https://www.cfoi.org.uk/scotland/</w:t>
        </w:r>
      </w:hyperlink>
      <w:r w:rsidR="009728E7">
        <w:rPr>
          <w:rFonts w:eastAsia="Times New Roman"/>
          <w:szCs w:val="24"/>
          <w:lang w:eastAsia="en-GB"/>
        </w:rPr>
        <w:t> </w:t>
      </w:r>
    </w:p>
    <w:p w:rsidR="00551456" w:rsidRDefault="00551456">
      <w:pPr>
        <w:spacing w:after="0" w:line="240" w:lineRule="auto"/>
        <w:rPr>
          <w:rFonts w:eastAsia="Times New Roman"/>
          <w:szCs w:val="24"/>
          <w:lang w:eastAsia="en-GB"/>
        </w:rPr>
      </w:pPr>
      <w:r>
        <w:rPr>
          <w:rFonts w:eastAsia="Times New Roman"/>
          <w:szCs w:val="24"/>
          <w:lang w:eastAsia="en-GB"/>
        </w:rPr>
        <w:br w:type="page"/>
      </w:r>
    </w:p>
    <w:p w:rsidR="00705A14" w:rsidRDefault="00705A14" w:rsidP="00705A14">
      <w:pPr>
        <w:spacing w:after="0" w:line="240" w:lineRule="auto"/>
        <w:rPr>
          <w:b/>
        </w:rPr>
      </w:pPr>
      <w:r>
        <w:rPr>
          <w:b/>
        </w:rPr>
        <w:lastRenderedPageBreak/>
        <w:t>Summary</w:t>
      </w:r>
    </w:p>
    <w:p w:rsidR="00705A14" w:rsidRDefault="00705A14" w:rsidP="00B575B0">
      <w:pPr>
        <w:autoSpaceDE w:val="0"/>
        <w:autoSpaceDN w:val="0"/>
        <w:adjustRightInd w:val="0"/>
        <w:spacing w:after="0" w:line="240" w:lineRule="auto"/>
        <w:rPr>
          <w:b/>
        </w:rPr>
      </w:pPr>
      <w:r w:rsidRPr="00F00AA8">
        <w:t>The Campaign for Freedom of Information</w:t>
      </w:r>
      <w:r>
        <w:t xml:space="preserve"> in Scotland</w:t>
      </w:r>
      <w:r w:rsidRPr="00F00AA8">
        <w:t xml:space="preserve"> </w:t>
      </w:r>
      <w:r>
        <w:t xml:space="preserve">welcomes the proposal in this consultation to </w:t>
      </w:r>
      <w:r w:rsidR="005E74E6">
        <w:t>extend</w:t>
      </w:r>
      <w:r>
        <w:t xml:space="preserve"> the Freedom of Information (Scotland) Act 2002 to “all RSLs</w:t>
      </w:r>
      <w:r>
        <w:rPr>
          <w:rFonts w:cs="Arial"/>
          <w:szCs w:val="24"/>
          <w:lang w:val="en-US" w:eastAsia="en-GB"/>
        </w:rPr>
        <w:t xml:space="preserve"> irrespective of size”</w:t>
      </w:r>
      <w:r>
        <w:rPr>
          <w:rStyle w:val="FootnoteReference"/>
          <w:rFonts w:cs="Arial"/>
          <w:szCs w:val="24"/>
          <w:lang w:val="en-US" w:eastAsia="en-GB"/>
        </w:rPr>
        <w:footnoteReference w:id="1"/>
      </w:r>
      <w:r>
        <w:rPr>
          <w:rFonts w:cs="Arial"/>
          <w:szCs w:val="24"/>
          <w:lang w:val="en-US" w:eastAsia="en-GB"/>
        </w:rPr>
        <w:t>, by 1</w:t>
      </w:r>
      <w:r w:rsidRPr="00705A14">
        <w:rPr>
          <w:rFonts w:cs="Arial"/>
          <w:szCs w:val="24"/>
          <w:vertAlign w:val="superscript"/>
          <w:lang w:val="en-US" w:eastAsia="en-GB"/>
        </w:rPr>
        <w:t>st</w:t>
      </w:r>
      <w:r>
        <w:rPr>
          <w:rFonts w:cs="Arial"/>
          <w:szCs w:val="24"/>
          <w:lang w:val="en-US" w:eastAsia="en-GB"/>
        </w:rPr>
        <w:t xml:space="preserve"> April 2018</w:t>
      </w:r>
      <w:r w:rsidR="00DF61CB">
        <w:rPr>
          <w:rStyle w:val="FootnoteReference"/>
          <w:rFonts w:cs="Arial"/>
          <w:szCs w:val="24"/>
          <w:lang w:val="en-US" w:eastAsia="en-GB"/>
        </w:rPr>
        <w:footnoteReference w:id="2"/>
      </w:r>
      <w:r>
        <w:rPr>
          <w:rFonts w:cs="Arial"/>
          <w:szCs w:val="24"/>
          <w:lang w:val="en-US" w:eastAsia="en-GB"/>
        </w:rPr>
        <w:t xml:space="preserve">.  </w:t>
      </w:r>
      <w:r w:rsidR="005E74E6">
        <w:rPr>
          <w:rFonts w:cs="Arial"/>
          <w:szCs w:val="24"/>
          <w:lang w:val="en-US" w:eastAsia="en-GB"/>
        </w:rPr>
        <w:t>CFoIS agrees that “a ‘class description’</w:t>
      </w:r>
      <w:r w:rsidR="00B575B0">
        <w:rPr>
          <w:rFonts w:cs="Arial"/>
          <w:szCs w:val="24"/>
          <w:lang w:val="en-US" w:eastAsia="en-GB"/>
        </w:rPr>
        <w:t xml:space="preserve"> covering </w:t>
      </w:r>
      <w:r w:rsidR="005E74E6">
        <w:rPr>
          <w:rFonts w:cs="Arial"/>
          <w:szCs w:val="24"/>
          <w:lang w:val="en-US" w:eastAsia="en-GB"/>
        </w:rPr>
        <w:t>registered social landlords and setting out the function(s) considered to be covered</w:t>
      </w:r>
      <w:r w:rsidR="00B575B0">
        <w:rPr>
          <w:rFonts w:cs="Arial"/>
          <w:szCs w:val="24"/>
          <w:lang w:val="en-US" w:eastAsia="en-GB"/>
        </w:rPr>
        <w:t xml:space="preserve"> </w:t>
      </w:r>
      <w:r w:rsidR="005E74E6">
        <w:rPr>
          <w:rFonts w:cs="Arial"/>
          <w:szCs w:val="24"/>
          <w:lang w:val="en-US" w:eastAsia="en-GB"/>
        </w:rPr>
        <w:t>by the order</w:t>
      </w:r>
      <w:r w:rsidR="00B575B0">
        <w:rPr>
          <w:rFonts w:cs="Arial"/>
          <w:szCs w:val="24"/>
          <w:lang w:val="en-US" w:eastAsia="en-GB"/>
        </w:rPr>
        <w:t>”</w:t>
      </w:r>
      <w:r w:rsidR="00B575B0">
        <w:rPr>
          <w:rStyle w:val="FootnoteReference"/>
          <w:rFonts w:cs="Arial"/>
          <w:szCs w:val="24"/>
          <w:lang w:val="en-US" w:eastAsia="en-GB"/>
        </w:rPr>
        <w:footnoteReference w:id="3"/>
      </w:r>
      <w:r w:rsidR="00B575B0">
        <w:rPr>
          <w:rFonts w:cs="Arial"/>
          <w:szCs w:val="24"/>
          <w:lang w:val="en-US" w:eastAsia="en-GB"/>
        </w:rPr>
        <w:t xml:space="preserve"> is the tidiest way to proceed</w:t>
      </w:r>
      <w:r w:rsidR="005E74E6">
        <w:rPr>
          <w:rFonts w:cs="Arial"/>
          <w:szCs w:val="24"/>
          <w:lang w:val="en-US" w:eastAsia="en-GB"/>
        </w:rPr>
        <w:t>.</w:t>
      </w:r>
      <w:r w:rsidR="00B575B0">
        <w:rPr>
          <w:rFonts w:cs="Arial"/>
          <w:szCs w:val="24"/>
          <w:lang w:val="en-US" w:eastAsia="en-GB"/>
        </w:rPr>
        <w:t xml:space="preserve"> </w:t>
      </w:r>
      <w:r>
        <w:rPr>
          <w:rFonts w:cs="Arial"/>
          <w:szCs w:val="24"/>
          <w:lang w:val="en-US" w:eastAsia="en-GB"/>
        </w:rPr>
        <w:t xml:space="preserve">We seek assurances from the Scottish Government that the all RSLs must be required to </w:t>
      </w:r>
      <w:r w:rsidR="005E74E6">
        <w:rPr>
          <w:rFonts w:cs="Arial"/>
          <w:szCs w:val="24"/>
          <w:lang w:val="en-US" w:eastAsia="en-GB"/>
        </w:rPr>
        <w:t>answer</w:t>
      </w:r>
      <w:r>
        <w:rPr>
          <w:rFonts w:cs="Arial"/>
          <w:szCs w:val="24"/>
          <w:lang w:val="en-US" w:eastAsia="en-GB"/>
        </w:rPr>
        <w:t xml:space="preserve"> the information </w:t>
      </w:r>
      <w:r w:rsidR="005E74E6">
        <w:rPr>
          <w:rFonts w:cs="Arial"/>
          <w:szCs w:val="24"/>
          <w:lang w:val="en-US" w:eastAsia="en-GB"/>
        </w:rPr>
        <w:t>request</w:t>
      </w:r>
      <w:r>
        <w:rPr>
          <w:rFonts w:cs="Arial"/>
          <w:szCs w:val="24"/>
          <w:lang w:val="en-US" w:eastAsia="en-GB"/>
        </w:rPr>
        <w:t xml:space="preserve"> within 20 working days so that the right remains robust</w:t>
      </w:r>
      <w:r w:rsidR="00744FAA">
        <w:rPr>
          <w:rFonts w:cs="Arial"/>
          <w:szCs w:val="24"/>
          <w:lang w:val="en-US" w:eastAsia="en-GB"/>
        </w:rPr>
        <w:t>,</w:t>
      </w:r>
      <w:r>
        <w:rPr>
          <w:rFonts w:cs="Arial"/>
          <w:szCs w:val="24"/>
          <w:lang w:val="en-US" w:eastAsia="en-GB"/>
        </w:rPr>
        <w:t xml:space="preserve"> and can be enforced in a timely manner.</w:t>
      </w:r>
    </w:p>
    <w:p w:rsidR="00705A14" w:rsidRPr="00036159" w:rsidRDefault="00705A14" w:rsidP="00705A14">
      <w:pPr>
        <w:spacing w:after="0" w:line="240" w:lineRule="auto"/>
        <w:rPr>
          <w:b/>
        </w:rPr>
      </w:pPr>
    </w:p>
    <w:p w:rsidR="009728E7" w:rsidRPr="00036159" w:rsidRDefault="009728E7" w:rsidP="00744FAA">
      <w:pPr>
        <w:spacing w:after="0" w:line="240" w:lineRule="auto"/>
        <w:rPr>
          <w:b/>
        </w:rPr>
      </w:pPr>
      <w:r w:rsidRPr="00036159">
        <w:rPr>
          <w:b/>
        </w:rPr>
        <w:t>About CFoI in S</w:t>
      </w:r>
    </w:p>
    <w:p w:rsidR="00B65F87" w:rsidRPr="00B65F87" w:rsidRDefault="009728E7" w:rsidP="00036159">
      <w:pPr>
        <w:pStyle w:val="ListParagraph"/>
        <w:numPr>
          <w:ilvl w:val="1"/>
          <w:numId w:val="1"/>
        </w:numPr>
        <w:spacing w:after="0" w:line="240" w:lineRule="auto"/>
        <w:rPr>
          <w:rStyle w:val="Hyperlink"/>
        </w:rPr>
      </w:pPr>
      <w:r w:rsidRPr="00036159">
        <w:t>The Campaign for Freedom of Information</w:t>
      </w:r>
      <w:r w:rsidR="002675DD" w:rsidRPr="00036159">
        <w:t xml:space="preserve"> in Scotland</w:t>
      </w:r>
      <w:r w:rsidRPr="00036159">
        <w:t xml:space="preserve"> (CFoIS) was established in 1984 to secure a legal right of access to information so that people could find out about how they are governed and</w:t>
      </w:r>
      <w:r w:rsidRPr="00F00AA8">
        <w:t xml:space="preserve"> how their services are delivered. We have been involved in all the major developments of the legislation</w:t>
      </w:r>
      <w:r>
        <w:t xml:space="preserve"> both at UK and Scottish levels.  CFoIS is independent of government and relies on donations and income generated throug</w:t>
      </w:r>
      <w:r w:rsidR="0002121F">
        <w:t>h</w:t>
      </w:r>
      <w:r>
        <w:t xml:space="preserve"> training.</w:t>
      </w:r>
      <w:r w:rsidR="002675DD">
        <w:t xml:space="preserve">   For more information on our work go to </w:t>
      </w:r>
      <w:hyperlink r:id="rId10" w:history="1">
        <w:r w:rsidR="002675DD" w:rsidRPr="00A9241F">
          <w:rPr>
            <w:rStyle w:val="Hyperlink"/>
          </w:rPr>
          <w:t>https://www.cfoi.org.uk/scotland/</w:t>
        </w:r>
      </w:hyperlink>
      <w:r w:rsidR="00B65F87">
        <w:rPr>
          <w:rStyle w:val="Hyperlink"/>
        </w:rPr>
        <w:t xml:space="preserve"> </w:t>
      </w:r>
    </w:p>
    <w:p w:rsidR="00B65F87" w:rsidRPr="00B65F87" w:rsidRDefault="00B65F87" w:rsidP="00B65F87">
      <w:pPr>
        <w:pStyle w:val="ListParagraph"/>
        <w:spacing w:after="0" w:line="240" w:lineRule="auto"/>
        <w:ind w:left="765"/>
        <w:rPr>
          <w:rStyle w:val="Hyperlink"/>
        </w:rPr>
      </w:pPr>
    </w:p>
    <w:p w:rsidR="00B65F87" w:rsidRPr="00B65F87" w:rsidRDefault="009728E7" w:rsidP="00AC4A0C">
      <w:pPr>
        <w:pStyle w:val="ListParagraph"/>
        <w:numPr>
          <w:ilvl w:val="1"/>
          <w:numId w:val="1"/>
        </w:numPr>
        <w:spacing w:after="0" w:line="240" w:lineRule="auto"/>
        <w:rPr>
          <w:szCs w:val="24"/>
        </w:rPr>
      </w:pPr>
      <w:r w:rsidRPr="00F00AA8">
        <w:t xml:space="preserve">During the passage of </w:t>
      </w:r>
      <w:r>
        <w:t xml:space="preserve">the Freedom of Information (Scotland) Act 2002 (FoISA) </w:t>
      </w:r>
      <w:r w:rsidRPr="00F00AA8">
        <w:t>and subsequently</w:t>
      </w:r>
      <w:r>
        <w:t>,</w:t>
      </w:r>
      <w:r w:rsidRPr="00F00AA8">
        <w:t xml:space="preserve"> we have consistently argued that the legislation should cover a much wider section of Scottish society, recognising that our public services are delivered by bodies other than public authorities, though paid for by public money. </w:t>
      </w:r>
      <w:r w:rsidR="00B65F87">
        <w:t xml:space="preserve"> CFoIS </w:t>
      </w:r>
      <w:r w:rsidR="00B65F87" w:rsidRPr="00F00AA8">
        <w:t>believe</w:t>
      </w:r>
      <w:r w:rsidR="00B65F87">
        <w:t>s</w:t>
      </w:r>
      <w:r w:rsidR="00B65F87" w:rsidRPr="00F00AA8">
        <w:t xml:space="preserve"> contractors who build and maintain hospitals and schools, who build and maintain trunk roads or water and sewage facilities should be covered by FoISA.  Trusts and other arm</w:t>
      </w:r>
      <w:r w:rsidR="002E5365">
        <w:t xml:space="preserve">s-length organisations running </w:t>
      </w:r>
      <w:r w:rsidR="00B65F87" w:rsidRPr="00F00AA8">
        <w:t xml:space="preserve">public service facilities such as building, parking, transport, property, IT, finance and other support services, health, home, safety and social care should also be covered as should the Convention of Scottish Local Authorities (CoSLA) and other umbrella organisations which make key leadership decisions for the public sector. </w:t>
      </w:r>
    </w:p>
    <w:p w:rsidR="00B65F87" w:rsidRDefault="00B65F87" w:rsidP="00B65F87">
      <w:pPr>
        <w:pStyle w:val="ListParagraph"/>
      </w:pPr>
    </w:p>
    <w:p w:rsidR="00B65F87" w:rsidRDefault="009728E7" w:rsidP="00AC4A0C">
      <w:pPr>
        <w:pStyle w:val="ListParagraph"/>
        <w:numPr>
          <w:ilvl w:val="1"/>
          <w:numId w:val="1"/>
        </w:numPr>
        <w:spacing w:after="0" w:line="240" w:lineRule="auto"/>
      </w:pPr>
      <w:r w:rsidRPr="00F00AA8">
        <w:t>We welcome opportunities to work with the Scottish</w:t>
      </w:r>
      <w:r>
        <w:t xml:space="preserve"> Government,</w:t>
      </w:r>
      <w:r w:rsidRPr="00F00AA8">
        <w:t xml:space="preserve"> public authorities</w:t>
      </w:r>
      <w:r w:rsidR="001E673E">
        <w:t>, civil society</w:t>
      </w:r>
      <w:r>
        <w:t xml:space="preserve"> and private sector companies</w:t>
      </w:r>
      <w:r w:rsidRPr="00F00AA8">
        <w:t xml:space="preserve"> to ensure that FoISA is implemented effectively and have organised and participated in a number of activities to t</w:t>
      </w:r>
      <w:r>
        <w:t xml:space="preserve">his effect such as </w:t>
      </w:r>
      <w:r w:rsidRPr="00F00AA8">
        <w:t xml:space="preserve">the Scottish Public Information </w:t>
      </w:r>
      <w:r>
        <w:t>Forum</w:t>
      </w:r>
      <w:r w:rsidRPr="00F00AA8">
        <w:t xml:space="preserve">. </w:t>
      </w:r>
    </w:p>
    <w:p w:rsidR="00B65F87" w:rsidRDefault="00B65F87" w:rsidP="00B65F87">
      <w:pPr>
        <w:pStyle w:val="ListParagraph"/>
      </w:pPr>
    </w:p>
    <w:p w:rsidR="00B65F87" w:rsidRDefault="008C7B44" w:rsidP="00AC4A0C">
      <w:pPr>
        <w:pStyle w:val="ListParagraph"/>
        <w:numPr>
          <w:ilvl w:val="1"/>
          <w:numId w:val="1"/>
        </w:numPr>
        <w:spacing w:after="0" w:line="240" w:lineRule="auto"/>
      </w:pPr>
      <w:r>
        <w:t>Recent work has included</w:t>
      </w:r>
      <w:r w:rsidR="003C4435">
        <w:t xml:space="preserve"> drafting a briefing on the SSI ‘Time for </w:t>
      </w:r>
      <w:r w:rsidR="00740BD5">
        <w:t>Compliance</w:t>
      </w:r>
      <w:r w:rsidR="003C4435">
        <w:t xml:space="preserve"> regulations’ and circulating to all political parties at the Scottish Parliament (Oct 2016),</w:t>
      </w:r>
      <w:r>
        <w:t xml:space="preserve"> making a submission to th</w:t>
      </w:r>
      <w:r w:rsidR="001E673E">
        <w:t>e UN on the Universal Periodic R</w:t>
      </w:r>
      <w:r>
        <w:t>eview</w:t>
      </w:r>
      <w:r w:rsidR="009267D5">
        <w:t xml:space="preserve"> (UPR)</w:t>
      </w:r>
      <w:r>
        <w:t xml:space="preserve"> of Scotland’s compliance with international human rights law (October 2016), </w:t>
      </w:r>
      <w:r w:rsidR="00744FAA">
        <w:t xml:space="preserve">and </w:t>
      </w:r>
      <w:r>
        <w:t xml:space="preserve">producing an ‘Agenda for Action for MSPs’ following the Scottish Parliament elections (May 2016) </w:t>
      </w:r>
      <w:r w:rsidR="00744FAA">
        <w:t>– see Appendix 1</w:t>
      </w:r>
      <w:r w:rsidR="001E673E">
        <w:t xml:space="preserve">.   </w:t>
      </w:r>
      <w:r w:rsidR="002E5365">
        <w:t xml:space="preserve">We are grateful to the </w:t>
      </w:r>
      <w:r w:rsidR="005E74E6">
        <w:t>National</w:t>
      </w:r>
      <w:r w:rsidR="002E5365">
        <w:t xml:space="preserve"> Union of Journalists, GMB Scotland and RMT for donations that enabled this work to take place.  Our</w:t>
      </w:r>
      <w:r w:rsidR="001E673E">
        <w:t xml:space="preserve"> voluntary commitment is constant including meeting</w:t>
      </w:r>
      <w:r w:rsidR="00744FAA">
        <w:t xml:space="preserve">s across Scotland and briefing journalists. </w:t>
      </w:r>
      <w:r w:rsidR="001E673E">
        <w:t xml:space="preserve"> </w:t>
      </w:r>
    </w:p>
    <w:p w:rsidR="00036159" w:rsidRDefault="00036159" w:rsidP="00F934B5">
      <w:pPr>
        <w:spacing w:after="0" w:line="240" w:lineRule="auto"/>
        <w:rPr>
          <w:b/>
        </w:rPr>
      </w:pPr>
    </w:p>
    <w:p w:rsidR="00B9522B" w:rsidRPr="0056091F" w:rsidRDefault="001B36E5" w:rsidP="00F934B5">
      <w:pPr>
        <w:spacing w:after="0" w:line="240" w:lineRule="auto"/>
        <w:rPr>
          <w:b/>
        </w:rPr>
      </w:pPr>
      <w:r>
        <w:rPr>
          <w:b/>
        </w:rPr>
        <w:t xml:space="preserve">2. </w:t>
      </w:r>
      <w:r w:rsidR="00B65F87">
        <w:rPr>
          <w:b/>
        </w:rPr>
        <w:t>Context</w:t>
      </w:r>
    </w:p>
    <w:p w:rsidR="00744FAA" w:rsidRPr="00744FAA" w:rsidRDefault="0056091F" w:rsidP="00744FAA">
      <w:pPr>
        <w:spacing w:line="240" w:lineRule="auto"/>
        <w:rPr>
          <w:szCs w:val="24"/>
        </w:rPr>
      </w:pPr>
      <w:r>
        <w:t xml:space="preserve">2.1 </w:t>
      </w:r>
      <w:r w:rsidR="00744FAA" w:rsidRPr="00744FAA">
        <w:t xml:space="preserve">In drafting this submission we have spoken to FoI consumers and have examined FoISA.  We have also referred to the </w:t>
      </w:r>
      <w:r w:rsidR="00744FAA" w:rsidRPr="0041401D">
        <w:t>Code of Practice issu</w:t>
      </w:r>
      <w:r w:rsidR="00744FAA">
        <w:t xml:space="preserve">ed by the Scottish Government which fulfils the statutory obligation on the Scottish Ministers under section 60 of FOISA and regulation 18 of the EIRs. Known as the ‘Section 60 Code”, it </w:t>
      </w:r>
      <w:r w:rsidR="00744FAA" w:rsidRPr="00744FAA">
        <w:rPr>
          <w:szCs w:val="24"/>
        </w:rPr>
        <w:t xml:space="preserve">“provides guidance to Scottish public authorities on the </w:t>
      </w:r>
      <w:r w:rsidR="00744FAA" w:rsidRPr="00744FAA">
        <w:rPr>
          <w:szCs w:val="24"/>
        </w:rPr>
        <w:lastRenderedPageBreak/>
        <w:t>practice which Scottish Ministers consider desirable for authorities to follow in connection with the discharge of their functions under the regimes.”</w:t>
      </w:r>
      <w:r w:rsidR="00744FAA">
        <w:rPr>
          <w:rStyle w:val="FootnoteReference"/>
          <w:szCs w:val="24"/>
        </w:rPr>
        <w:footnoteReference w:id="4"/>
      </w:r>
    </w:p>
    <w:p w:rsidR="00A715E9" w:rsidRDefault="00744FAA" w:rsidP="00150B2B">
      <w:pPr>
        <w:spacing w:after="0" w:line="240" w:lineRule="auto"/>
      </w:pPr>
      <w:r>
        <w:t xml:space="preserve">2.2 </w:t>
      </w:r>
      <w:r w:rsidR="00BA3EF5">
        <w:t>FoISA</w:t>
      </w:r>
      <w:r w:rsidR="00D36732">
        <w:t xml:space="preserve"> </w:t>
      </w:r>
      <w:r w:rsidR="00FB08E4">
        <w:t>became effective on 1 January 2005</w:t>
      </w:r>
      <w:r w:rsidR="00FF5473">
        <w:rPr>
          <w:rStyle w:val="FootnoteReference"/>
        </w:rPr>
        <w:footnoteReference w:id="5"/>
      </w:r>
      <w:r w:rsidR="00FB08E4">
        <w:t xml:space="preserve">.  </w:t>
      </w:r>
      <w:r w:rsidR="00BA1784">
        <w:t>In 2002, d</w:t>
      </w:r>
      <w:r w:rsidR="00A715E9">
        <w:t>uring Stage 3 of the Freedom of Information (Scotland) Bill, RSL</w:t>
      </w:r>
      <w:r w:rsidR="00BA1784">
        <w:t>s</w:t>
      </w:r>
      <w:r w:rsidR="00A715E9">
        <w:t xml:space="preserve"> were withdrawn from the li</w:t>
      </w:r>
      <w:r w:rsidR="00B84C00">
        <w:t>st of</w:t>
      </w:r>
      <w:r w:rsidR="00BA1784">
        <w:t xml:space="preserve"> </w:t>
      </w:r>
      <w:r w:rsidR="005E74E6">
        <w:t>authorities</w:t>
      </w:r>
      <w:r w:rsidR="00BA1784">
        <w:t xml:space="preserve"> </w:t>
      </w:r>
      <w:r>
        <w:t xml:space="preserve">to be </w:t>
      </w:r>
      <w:r w:rsidR="00BA1784">
        <w:t>covered</w:t>
      </w:r>
      <w:r>
        <w:t xml:space="preserve">. </w:t>
      </w:r>
      <w:r w:rsidR="00BA1784">
        <w:t>The then Justice Minister promised that they would be included and we are relieved that will now happen, 16 years later, effective from 1</w:t>
      </w:r>
      <w:r w:rsidR="00BA1784" w:rsidRPr="00BA1784">
        <w:rPr>
          <w:vertAlign w:val="superscript"/>
        </w:rPr>
        <w:t>st</w:t>
      </w:r>
      <w:r w:rsidR="00BA1784">
        <w:t xml:space="preserve"> April 2018</w:t>
      </w:r>
      <w:r>
        <w:t>.</w:t>
      </w:r>
    </w:p>
    <w:p w:rsidR="00A715E9" w:rsidRDefault="00A715E9" w:rsidP="00150B2B">
      <w:pPr>
        <w:spacing w:after="0" w:line="240" w:lineRule="auto"/>
      </w:pPr>
    </w:p>
    <w:p w:rsidR="00377F32" w:rsidRDefault="007160A6" w:rsidP="00BA1784">
      <w:pPr>
        <w:spacing w:after="0" w:line="240" w:lineRule="auto"/>
      </w:pPr>
      <w:r>
        <w:t>2.3</w:t>
      </w:r>
      <w:r w:rsidR="00A715E9">
        <w:t xml:space="preserve"> </w:t>
      </w:r>
      <w:r w:rsidR="00F40F6C">
        <w:t xml:space="preserve">The enforceable right to access </w:t>
      </w:r>
      <w:r w:rsidR="00744FAA">
        <w:t>i</w:t>
      </w:r>
      <w:r w:rsidR="009267D5">
        <w:t>nformation</w:t>
      </w:r>
      <w:r w:rsidR="00F40F6C">
        <w:t xml:space="preserve"> has become progressively weakened </w:t>
      </w:r>
      <w:r w:rsidR="00744FAA">
        <w:t xml:space="preserve">in Scotland </w:t>
      </w:r>
      <w:r w:rsidR="00B84C00">
        <w:t>due to changes in the way</w:t>
      </w:r>
      <w:r w:rsidR="00F40F6C">
        <w:t xml:space="preserve"> public services</w:t>
      </w:r>
      <w:r w:rsidR="00B84C00">
        <w:t>*</w:t>
      </w:r>
      <w:r w:rsidR="00FF5473">
        <w:t xml:space="preserve"> are deli</w:t>
      </w:r>
      <w:r w:rsidR="00F40F6C">
        <w:t>ver</w:t>
      </w:r>
      <w:r w:rsidR="00FF5473">
        <w:t>e</w:t>
      </w:r>
      <w:r w:rsidR="00F40F6C">
        <w:t>d.  Consequently, there has been a negative impact on transparenc</w:t>
      </w:r>
      <w:r w:rsidR="00744FAA">
        <w:t>y and accountability</w:t>
      </w:r>
      <w:r w:rsidR="00F40F6C">
        <w:t xml:space="preserve">.  </w:t>
      </w:r>
      <w:r w:rsidR="00171A12">
        <w:t>I</w:t>
      </w:r>
      <w:r w:rsidR="00A715E9">
        <w:t>n addition, the ‘Time for Compl</w:t>
      </w:r>
      <w:r w:rsidR="00171A12">
        <w:t>i</w:t>
      </w:r>
      <w:r w:rsidR="00A715E9">
        <w:t>a</w:t>
      </w:r>
      <w:r w:rsidR="00171A12">
        <w:t>nce (Scotland) Regulations</w:t>
      </w:r>
      <w:r w:rsidR="00744FAA">
        <w:t>’</w:t>
      </w:r>
      <w:r w:rsidR="00171A12">
        <w:t xml:space="preserve"> changed the rules that presumed bodies would respond within </w:t>
      </w:r>
      <w:r w:rsidR="00744FAA">
        <w:t xml:space="preserve">a maximum of </w:t>
      </w:r>
      <w:r w:rsidR="00171A12">
        <w:t>20 working days</w:t>
      </w:r>
      <w:r w:rsidR="00A71C97">
        <w:t>, and increased</w:t>
      </w:r>
      <w:r w:rsidR="00171A12">
        <w:t xml:space="preserve"> </w:t>
      </w:r>
      <w:r w:rsidR="00A715E9">
        <w:t xml:space="preserve">the response time </w:t>
      </w:r>
      <w:r w:rsidR="00171A12">
        <w:t>to a potential 60 working days</w:t>
      </w:r>
      <w:r w:rsidR="00A715E9">
        <w:t xml:space="preserve"> for grant-aided and independent special schools</w:t>
      </w:r>
      <w:r w:rsidR="00171A12">
        <w:t>.</w:t>
      </w:r>
      <w:r w:rsidR="00A715E9">
        <w:rPr>
          <w:rStyle w:val="FootnoteReference"/>
        </w:rPr>
        <w:footnoteReference w:id="6"/>
      </w:r>
    </w:p>
    <w:p w:rsidR="00A715E9" w:rsidRDefault="00A715E9" w:rsidP="00A715E9">
      <w:pPr>
        <w:spacing w:after="0" w:line="240" w:lineRule="auto"/>
      </w:pPr>
    </w:p>
    <w:p w:rsidR="00B575B0" w:rsidRPr="00B575B0" w:rsidRDefault="007160A6" w:rsidP="007160A6">
      <w:pPr>
        <w:spacing w:after="0" w:line="240" w:lineRule="auto"/>
      </w:pPr>
      <w:r>
        <w:t xml:space="preserve">2.4 </w:t>
      </w:r>
      <w:r w:rsidR="002E5365" w:rsidRPr="007160A6">
        <w:t xml:space="preserve">CFoIS notes the consultation is less that the normal </w:t>
      </w:r>
      <w:r w:rsidR="005E74E6" w:rsidRPr="007160A6">
        <w:t>three-month</w:t>
      </w:r>
      <w:r w:rsidR="002E5365" w:rsidRPr="007160A6">
        <w:t xml:space="preserve"> period</w:t>
      </w:r>
      <w:r w:rsidR="00A71C97" w:rsidRPr="007160A6">
        <w:t>, from 1</w:t>
      </w:r>
      <w:r w:rsidR="00A71C97" w:rsidRPr="007160A6">
        <w:rPr>
          <w:vertAlign w:val="superscript"/>
        </w:rPr>
        <w:t>st</w:t>
      </w:r>
      <w:r w:rsidR="00A71C97" w:rsidRPr="007160A6">
        <w:t xml:space="preserve"> December 2016 – 23</w:t>
      </w:r>
      <w:r w:rsidR="00A71C97" w:rsidRPr="007160A6">
        <w:rPr>
          <w:vertAlign w:val="superscript"/>
        </w:rPr>
        <w:t>rd</w:t>
      </w:r>
      <w:r w:rsidR="00A71C97" w:rsidRPr="007160A6">
        <w:t xml:space="preserve"> February,</w:t>
      </w:r>
      <w:r w:rsidR="002E5365" w:rsidRPr="007160A6">
        <w:t xml:space="preserve"> and that it takes place </w:t>
      </w:r>
      <w:r w:rsidR="00A71C97" w:rsidRPr="007160A6">
        <w:t xml:space="preserve">during the Christmas and New Year holidays. </w:t>
      </w:r>
      <w:r w:rsidR="00A715E9" w:rsidRPr="007160A6">
        <w:t xml:space="preserve"> We are worried that a consequence will be fewer submissions in support of this proposal.</w:t>
      </w:r>
    </w:p>
    <w:p w:rsidR="00B575B0" w:rsidRPr="00B575B0" w:rsidRDefault="00B575B0" w:rsidP="00B575B0">
      <w:pPr>
        <w:pStyle w:val="ListParagraph"/>
        <w:spacing w:after="0" w:line="240" w:lineRule="auto"/>
        <w:ind w:left="360"/>
      </w:pPr>
    </w:p>
    <w:p w:rsidR="00B575B0" w:rsidRPr="00A71C97" w:rsidRDefault="007160A6" w:rsidP="007160A6">
      <w:pPr>
        <w:spacing w:after="0" w:line="240" w:lineRule="auto"/>
      </w:pPr>
      <w:r>
        <w:t xml:space="preserve">2.5 </w:t>
      </w:r>
      <w:r w:rsidR="00B575B0" w:rsidRPr="007160A6">
        <w:t xml:space="preserve">CFoIS is alarmed that the focus of this consultation is </w:t>
      </w:r>
      <w:r w:rsidR="00B84C00" w:rsidRPr="007160A6">
        <w:t>on the impact on RSLs rather than</w:t>
      </w:r>
      <w:r w:rsidR="00B575B0" w:rsidRPr="007160A6">
        <w:t xml:space="preserve"> on the benefits to the general public as well as tenants.  For </w:t>
      </w:r>
      <w:r w:rsidR="001812EB" w:rsidRPr="007160A6">
        <w:t>example,</w:t>
      </w:r>
      <w:r w:rsidR="00B575B0" w:rsidRPr="007160A6">
        <w:t xml:space="preserve"> it is stated “</w:t>
      </w:r>
      <w:r w:rsidR="00B575B0" w:rsidRPr="007160A6">
        <w:rPr>
          <w:rFonts w:cs="Arial"/>
          <w:szCs w:val="24"/>
          <w:lang w:val="en-US" w:eastAsia="en-GB"/>
        </w:rPr>
        <w:t>As part of the consultation process, the Scottish Government will meet a number of organisations and representatives from the housing sector so we can better assess the costs and/or benefits to them.”</w:t>
      </w:r>
      <w:r w:rsidR="00B575B0">
        <w:rPr>
          <w:rStyle w:val="FootnoteReference"/>
          <w:rFonts w:cs="Arial"/>
          <w:szCs w:val="24"/>
          <w:lang w:val="en-US" w:eastAsia="en-GB"/>
        </w:rPr>
        <w:footnoteReference w:id="7"/>
      </w:r>
      <w:r w:rsidR="00B575B0" w:rsidRPr="007160A6">
        <w:rPr>
          <w:rFonts w:cs="Arial"/>
          <w:szCs w:val="24"/>
          <w:lang w:val="en-US" w:eastAsia="en-GB"/>
        </w:rPr>
        <w:t xml:space="preserve">  This seems to be a narrow focus on stakeholder engagement.</w:t>
      </w:r>
    </w:p>
    <w:p w:rsidR="00A71C97" w:rsidRPr="00A71C97" w:rsidRDefault="00A71C97" w:rsidP="00A71C97">
      <w:pPr>
        <w:pStyle w:val="ListParagraph"/>
        <w:spacing w:after="0" w:line="240" w:lineRule="auto"/>
        <w:ind w:left="360"/>
      </w:pPr>
    </w:p>
    <w:p w:rsidR="00577EDD" w:rsidRPr="00577EDD" w:rsidRDefault="007160A6" w:rsidP="007160A6">
      <w:pPr>
        <w:spacing w:after="0" w:line="240" w:lineRule="auto"/>
      </w:pPr>
      <w:r>
        <w:t xml:space="preserve">2.6 </w:t>
      </w:r>
      <w:r w:rsidR="002E5365" w:rsidRPr="007160A6">
        <w:t>CFoIS is again disappointed that no human rights impact assessment was undertaken on a proposal to amend FoISA.  An Equality and Human Rights Impact Assessment (EqHRIA) has been developed by the Scottish Human Rights Commission and the Equality and Human Rights Commission Scotland</w:t>
      </w:r>
      <w:r w:rsidR="002E5365">
        <w:rPr>
          <w:rStyle w:val="FootnoteReference"/>
        </w:rPr>
        <w:footnoteReference w:id="8"/>
      </w:r>
      <w:r w:rsidR="002E5365" w:rsidRPr="007160A6">
        <w:t xml:space="preserve">.  As this </w:t>
      </w:r>
      <w:r w:rsidR="00036159">
        <w:t>consultation</w:t>
      </w:r>
      <w:r w:rsidR="002E5365" w:rsidRPr="007160A6">
        <w:t xml:space="preserve"> involves interpretation of Article 10 of the ECHR, there should be more detail about </w:t>
      </w:r>
      <w:r w:rsidR="00036159">
        <w:t>its</w:t>
      </w:r>
      <w:r w:rsidR="002E5365" w:rsidRPr="007160A6">
        <w:t xml:space="preserve"> impact on the right to form an opinion by receiving and imparting information.  </w:t>
      </w:r>
      <w:r w:rsidR="005E74E6" w:rsidRPr="007160A6">
        <w:t>Also,</w:t>
      </w:r>
      <w:r w:rsidR="002E5365" w:rsidRPr="007160A6">
        <w:t xml:space="preserve"> giving due consideration to recent jurisprudence of the European Court of Human Rights</w:t>
      </w:r>
      <w:r w:rsidR="00744FAA" w:rsidRPr="007160A6">
        <w:t xml:space="preserve">. </w:t>
      </w:r>
      <w:r w:rsidR="00744FAA">
        <w:t xml:space="preserve">CFoIS believes that the duties of Scottish Government Ministers under the Scotland Act 1998 and the Human Rights Act 1998 make the extension of access to information rights inevitable to tenant groups, journalists, bloggers etc. </w:t>
      </w:r>
      <w:r w:rsidR="00577EDD" w:rsidRPr="007160A6">
        <w:t xml:space="preserve"> – see below</w:t>
      </w:r>
      <w:r w:rsidR="002E5365" w:rsidRPr="007160A6">
        <w:t xml:space="preserve">. </w:t>
      </w:r>
    </w:p>
    <w:p w:rsidR="007160A6" w:rsidRDefault="007160A6" w:rsidP="007160A6">
      <w:pPr>
        <w:spacing w:after="0" w:line="240" w:lineRule="auto"/>
      </w:pPr>
    </w:p>
    <w:p w:rsidR="00577EDD" w:rsidRPr="00AA13A8" w:rsidRDefault="007160A6" w:rsidP="007160A6">
      <w:pPr>
        <w:spacing w:after="0" w:line="240" w:lineRule="auto"/>
      </w:pPr>
      <w:r>
        <w:t xml:space="preserve">2.7 </w:t>
      </w:r>
      <w:r w:rsidR="00AA13A8" w:rsidRPr="007160A6">
        <w:t>CF</w:t>
      </w:r>
      <w:r w:rsidR="00577EDD" w:rsidRPr="007160A6">
        <w:t>oIS is pleased however that</w:t>
      </w:r>
      <w:r w:rsidR="002E5365" w:rsidRPr="007160A6">
        <w:t xml:space="preserve"> a child’s right impact assessment </w:t>
      </w:r>
      <w:r w:rsidR="00577EDD" w:rsidRPr="007160A6">
        <w:t>has been undertaken.</w:t>
      </w:r>
      <w:r w:rsidR="002E5365" w:rsidRPr="007160A6">
        <w:rPr>
          <w:szCs w:val="24"/>
        </w:rPr>
        <w:t xml:space="preserve"> </w:t>
      </w:r>
      <w:r w:rsidR="00577EDD" w:rsidRPr="007160A6">
        <w:rPr>
          <w:szCs w:val="24"/>
        </w:rPr>
        <w:t xml:space="preserve"> </w:t>
      </w:r>
    </w:p>
    <w:p w:rsidR="007160A6" w:rsidRDefault="007160A6" w:rsidP="007160A6">
      <w:pPr>
        <w:spacing w:after="0" w:line="240" w:lineRule="auto"/>
      </w:pPr>
    </w:p>
    <w:p w:rsidR="00A715E9" w:rsidRPr="00A715E9" w:rsidRDefault="007160A6" w:rsidP="007160A6">
      <w:pPr>
        <w:spacing w:after="0" w:line="240" w:lineRule="auto"/>
      </w:pPr>
      <w:r>
        <w:t xml:space="preserve">2.8 </w:t>
      </w:r>
      <w:r w:rsidR="002E5365" w:rsidRPr="007160A6">
        <w:t>Addressing and fulfilling administrative obligations, particularly in a period of public spending cuts, is a challenge for all of Scotland’s 10,000</w:t>
      </w:r>
      <w:r w:rsidR="00F36782" w:rsidRPr="007160A6">
        <w:t xml:space="preserve"> +</w:t>
      </w:r>
      <w:r w:rsidR="002E5365" w:rsidRPr="007160A6">
        <w:t xml:space="preserve"> public authorities.    Many public authorities already covered by FoISA are large and complex yet they manage to fulfill legal timelines, e.g. due to sound record management systems</w:t>
      </w:r>
      <w:r w:rsidR="00A715E9" w:rsidRPr="007160A6">
        <w:t xml:space="preserve"> and pro-active </w:t>
      </w:r>
      <w:r w:rsidR="005E74E6" w:rsidRPr="007160A6">
        <w:t>publication</w:t>
      </w:r>
      <w:r w:rsidR="00A715E9" w:rsidRPr="007160A6">
        <w:t xml:space="preserve"> </w:t>
      </w:r>
      <w:r w:rsidR="005E74E6" w:rsidRPr="007160A6">
        <w:t>strategies</w:t>
      </w:r>
      <w:r w:rsidR="002E5365" w:rsidRPr="007160A6">
        <w:t xml:space="preserve">. </w:t>
      </w:r>
      <w:r w:rsidR="00A715E9" w:rsidRPr="007160A6">
        <w:rPr>
          <w:rFonts w:cs="Arial"/>
          <w:szCs w:val="24"/>
        </w:rPr>
        <w:t xml:space="preserve">Public bodies covered by FoISA should proactively publish information described in their publication scheme (which must be submitted and approved by the Office of the Scottish Information Commissioner).  A robust publication scheme reduces the need to process </w:t>
      </w:r>
      <w:r w:rsidR="005E74E6" w:rsidRPr="007160A6">
        <w:rPr>
          <w:rFonts w:cs="Arial"/>
          <w:szCs w:val="24"/>
        </w:rPr>
        <w:t>individual</w:t>
      </w:r>
      <w:r w:rsidR="00A715E9" w:rsidRPr="007160A6">
        <w:rPr>
          <w:rFonts w:cs="Arial"/>
          <w:szCs w:val="24"/>
        </w:rPr>
        <w:t xml:space="preserve"> FoI requests as people can already access the information</w:t>
      </w:r>
      <w:r w:rsidR="00F36782" w:rsidRPr="007160A6">
        <w:rPr>
          <w:rFonts w:cs="Arial"/>
          <w:szCs w:val="24"/>
        </w:rPr>
        <w:t>,</w:t>
      </w:r>
      <w:r w:rsidR="00A715E9" w:rsidRPr="007160A6">
        <w:rPr>
          <w:rFonts w:cs="Arial"/>
          <w:szCs w:val="24"/>
        </w:rPr>
        <w:t xml:space="preserve"> at any time.</w:t>
      </w:r>
    </w:p>
    <w:p w:rsidR="00F36782" w:rsidRDefault="00F36782" w:rsidP="00577EDD">
      <w:pPr>
        <w:spacing w:after="0" w:line="240" w:lineRule="auto"/>
      </w:pPr>
    </w:p>
    <w:p w:rsidR="00BA1784" w:rsidRPr="00667A98" w:rsidRDefault="00577EDD" w:rsidP="00577EDD">
      <w:pPr>
        <w:spacing w:after="0" w:line="240" w:lineRule="auto"/>
        <w:rPr>
          <w:rFonts w:cs="Arial"/>
          <w:b/>
          <w:szCs w:val="24"/>
        </w:rPr>
      </w:pPr>
      <w:r w:rsidRPr="00667A98">
        <w:rPr>
          <w:rFonts w:cs="Arial"/>
          <w:b/>
          <w:szCs w:val="24"/>
        </w:rPr>
        <w:t xml:space="preserve">3. </w:t>
      </w:r>
      <w:r w:rsidR="00667A98" w:rsidRPr="00667A98">
        <w:rPr>
          <w:rFonts w:cs="Arial"/>
          <w:b/>
          <w:szCs w:val="24"/>
        </w:rPr>
        <w:t>Public Au</w:t>
      </w:r>
      <w:r w:rsidR="00BA1784" w:rsidRPr="00667A98">
        <w:rPr>
          <w:rFonts w:cs="Arial"/>
          <w:b/>
          <w:szCs w:val="24"/>
        </w:rPr>
        <w:t>thorities</w:t>
      </w:r>
    </w:p>
    <w:p w:rsidR="00BA1784" w:rsidRPr="00667A98" w:rsidRDefault="00AA13A8" w:rsidP="00667A98">
      <w:pPr>
        <w:spacing w:after="0" w:line="240" w:lineRule="auto"/>
        <w:rPr>
          <w:rFonts w:cs="Arial"/>
          <w:szCs w:val="24"/>
        </w:rPr>
      </w:pPr>
      <w:r>
        <w:rPr>
          <w:rFonts w:cs="Arial"/>
          <w:szCs w:val="24"/>
        </w:rPr>
        <w:t xml:space="preserve">3.1 </w:t>
      </w:r>
      <w:r w:rsidR="00BA1784" w:rsidRPr="00667A98">
        <w:rPr>
          <w:rFonts w:cs="Arial"/>
          <w:szCs w:val="24"/>
        </w:rPr>
        <w:t>Section 1 (1) of FoISA states:</w:t>
      </w:r>
    </w:p>
    <w:p w:rsidR="00667A98" w:rsidRPr="00667A98" w:rsidRDefault="00BA1784" w:rsidP="00667A98">
      <w:pPr>
        <w:spacing w:after="0" w:line="240" w:lineRule="auto"/>
        <w:rPr>
          <w:rFonts w:cs="Arial"/>
          <w:szCs w:val="24"/>
        </w:rPr>
      </w:pPr>
      <w:r w:rsidRPr="00667A98">
        <w:rPr>
          <w:rStyle w:val="legds2"/>
          <w:rFonts w:cs="Arial"/>
          <w:szCs w:val="24"/>
          <w:specVanish w:val="0"/>
        </w:rPr>
        <w:t xml:space="preserve">“A person who requests information from a Scottish public authority which holds it is entitled to be given it by the authority.” </w:t>
      </w:r>
      <w:r w:rsidRPr="00667A98">
        <w:rPr>
          <w:rFonts w:cs="Arial"/>
          <w:szCs w:val="24"/>
        </w:rPr>
        <w:t xml:space="preserve">Schedule 1 </w:t>
      </w:r>
      <w:r w:rsidR="00667A98" w:rsidRPr="00667A98">
        <w:rPr>
          <w:rFonts w:cs="Arial"/>
          <w:szCs w:val="24"/>
        </w:rPr>
        <w:t xml:space="preserve">of FoISA </w:t>
      </w:r>
      <w:r w:rsidRPr="00667A98">
        <w:rPr>
          <w:rFonts w:cs="Arial"/>
          <w:szCs w:val="24"/>
        </w:rPr>
        <w:t>lists Scottish Public Authorities</w:t>
      </w:r>
      <w:r w:rsidR="00667A98">
        <w:rPr>
          <w:rFonts w:cs="Arial"/>
          <w:szCs w:val="24"/>
        </w:rPr>
        <w:t xml:space="preserve"> which</w:t>
      </w:r>
      <w:r w:rsidR="005E74E6">
        <w:rPr>
          <w:rFonts w:cs="Arial"/>
          <w:szCs w:val="24"/>
        </w:rPr>
        <w:t xml:space="preserve"> also</w:t>
      </w:r>
      <w:r w:rsidR="00667A98">
        <w:rPr>
          <w:rFonts w:cs="Arial"/>
          <w:szCs w:val="24"/>
        </w:rPr>
        <w:t xml:space="preserve"> includes those delivering services of s public nature</w:t>
      </w:r>
      <w:r w:rsidRPr="00667A98">
        <w:rPr>
          <w:rFonts w:cs="Arial"/>
          <w:szCs w:val="24"/>
        </w:rPr>
        <w:t xml:space="preserve">.  </w:t>
      </w:r>
    </w:p>
    <w:p w:rsidR="00667A98" w:rsidRPr="00667A98" w:rsidRDefault="00667A98" w:rsidP="00667A98">
      <w:pPr>
        <w:spacing w:after="0" w:line="240" w:lineRule="auto"/>
        <w:rPr>
          <w:rFonts w:cs="Arial"/>
          <w:szCs w:val="24"/>
        </w:rPr>
      </w:pPr>
    </w:p>
    <w:p w:rsidR="00BA1784" w:rsidRPr="00667A98" w:rsidRDefault="00AA13A8" w:rsidP="00667A98">
      <w:pPr>
        <w:spacing w:after="0" w:line="240" w:lineRule="auto"/>
        <w:rPr>
          <w:rFonts w:cs="Arial"/>
          <w:szCs w:val="24"/>
        </w:rPr>
      </w:pPr>
      <w:r>
        <w:rPr>
          <w:rFonts w:cs="Arial"/>
          <w:szCs w:val="24"/>
        </w:rPr>
        <w:t xml:space="preserve">3.2 </w:t>
      </w:r>
      <w:r w:rsidR="00667A98" w:rsidRPr="00667A98">
        <w:rPr>
          <w:rFonts w:cs="Arial"/>
          <w:szCs w:val="24"/>
        </w:rPr>
        <w:t>CFoIS</w:t>
      </w:r>
      <w:r w:rsidR="00BA1784" w:rsidRPr="00667A98">
        <w:rPr>
          <w:rFonts w:cs="Arial"/>
          <w:szCs w:val="24"/>
        </w:rPr>
        <w:t xml:space="preserve"> consider</w:t>
      </w:r>
      <w:r w:rsidR="00667A98" w:rsidRPr="00667A98">
        <w:rPr>
          <w:rFonts w:cs="Arial"/>
          <w:szCs w:val="24"/>
        </w:rPr>
        <w:t>s</w:t>
      </w:r>
      <w:r w:rsidR="00BA1784" w:rsidRPr="00667A98">
        <w:rPr>
          <w:rFonts w:cs="Arial"/>
          <w:szCs w:val="24"/>
        </w:rPr>
        <w:t xml:space="preserve"> that RSLs fit the description of </w:t>
      </w:r>
      <w:r>
        <w:rPr>
          <w:rFonts w:cs="Arial"/>
          <w:szCs w:val="24"/>
        </w:rPr>
        <w:t>‘</w:t>
      </w:r>
      <w:r w:rsidR="00BA1784" w:rsidRPr="00667A98">
        <w:rPr>
          <w:rFonts w:cs="Arial"/>
          <w:szCs w:val="24"/>
        </w:rPr>
        <w:t>services of a public nature</w:t>
      </w:r>
      <w:r>
        <w:rPr>
          <w:rFonts w:cs="Arial"/>
          <w:szCs w:val="24"/>
        </w:rPr>
        <w:t>’</w:t>
      </w:r>
      <w:r w:rsidR="00BA1784" w:rsidRPr="00667A98">
        <w:rPr>
          <w:rFonts w:cs="Arial"/>
          <w:szCs w:val="24"/>
        </w:rPr>
        <w:t xml:space="preserve"> as:</w:t>
      </w:r>
    </w:p>
    <w:p w:rsidR="00BA1784" w:rsidRPr="00667A98" w:rsidRDefault="00BA1784" w:rsidP="00AC4A0C">
      <w:pPr>
        <w:pStyle w:val="ListParagraph"/>
        <w:numPr>
          <w:ilvl w:val="0"/>
          <w:numId w:val="5"/>
        </w:numPr>
        <w:autoSpaceDE w:val="0"/>
        <w:autoSpaceDN w:val="0"/>
        <w:adjustRightInd w:val="0"/>
        <w:spacing w:after="0" w:line="240" w:lineRule="auto"/>
        <w:rPr>
          <w:rFonts w:cs="Arial"/>
          <w:szCs w:val="24"/>
          <w:lang w:val="en-US" w:eastAsia="en-GB"/>
        </w:rPr>
      </w:pPr>
      <w:r w:rsidRPr="00667A98">
        <w:rPr>
          <w:rFonts w:cs="Arial"/>
          <w:szCs w:val="24"/>
          <w:lang w:val="en-US" w:eastAsia="en-GB"/>
        </w:rPr>
        <w:t>the functions are of a nature that would require them to be performed</w:t>
      </w:r>
      <w:r w:rsidR="00667A98">
        <w:rPr>
          <w:rFonts w:cs="Arial"/>
          <w:szCs w:val="24"/>
          <w:lang w:val="en-US" w:eastAsia="en-GB"/>
        </w:rPr>
        <w:t xml:space="preserve"> </w:t>
      </w:r>
      <w:r w:rsidRPr="00667A98">
        <w:rPr>
          <w:rFonts w:cs="Arial"/>
          <w:szCs w:val="24"/>
          <w:lang w:val="en-US" w:eastAsia="en-GB"/>
        </w:rPr>
        <w:t>by a public authority if the body did not perform them;</w:t>
      </w:r>
    </w:p>
    <w:p w:rsidR="00BA1784" w:rsidRPr="00667A98" w:rsidRDefault="00BA1784" w:rsidP="00AC4A0C">
      <w:pPr>
        <w:pStyle w:val="ListParagraph"/>
        <w:numPr>
          <w:ilvl w:val="0"/>
          <w:numId w:val="4"/>
        </w:numPr>
        <w:autoSpaceDE w:val="0"/>
        <w:autoSpaceDN w:val="0"/>
        <w:adjustRightInd w:val="0"/>
        <w:spacing w:after="0" w:line="240" w:lineRule="auto"/>
        <w:rPr>
          <w:rFonts w:cs="Arial"/>
          <w:szCs w:val="24"/>
          <w:lang w:val="en-US" w:eastAsia="en-GB"/>
        </w:rPr>
      </w:pPr>
      <w:r w:rsidRPr="00667A98">
        <w:rPr>
          <w:rFonts w:cs="Arial"/>
          <w:szCs w:val="24"/>
          <w:lang w:val="en-US" w:eastAsia="en-GB"/>
        </w:rPr>
        <w:t xml:space="preserve">the body exercises </w:t>
      </w:r>
      <w:r w:rsidR="001E7F7D" w:rsidRPr="00667A98">
        <w:rPr>
          <w:rFonts w:cs="Arial"/>
          <w:szCs w:val="24"/>
          <w:lang w:val="en-US" w:eastAsia="en-GB"/>
        </w:rPr>
        <w:t>significant</w:t>
      </w:r>
      <w:r w:rsidRPr="00667A98">
        <w:rPr>
          <w:rFonts w:cs="Arial"/>
          <w:szCs w:val="24"/>
          <w:lang w:val="en-US" w:eastAsia="en-GB"/>
        </w:rPr>
        <w:t xml:space="preserve"> powers;</w:t>
      </w:r>
    </w:p>
    <w:p w:rsidR="00BA1784" w:rsidRPr="00667A98" w:rsidRDefault="001E7F7D" w:rsidP="00AC4A0C">
      <w:pPr>
        <w:pStyle w:val="ListParagraph"/>
        <w:numPr>
          <w:ilvl w:val="0"/>
          <w:numId w:val="4"/>
        </w:numPr>
        <w:autoSpaceDE w:val="0"/>
        <w:autoSpaceDN w:val="0"/>
        <w:adjustRightInd w:val="0"/>
        <w:spacing w:after="0" w:line="240" w:lineRule="auto"/>
        <w:rPr>
          <w:rFonts w:cs="Arial"/>
          <w:szCs w:val="24"/>
          <w:lang w:val="en-US" w:eastAsia="en-GB"/>
        </w:rPr>
      </w:pPr>
      <w:r w:rsidRPr="00667A98">
        <w:rPr>
          <w:rFonts w:cs="Arial"/>
          <w:szCs w:val="24"/>
          <w:lang w:val="en-US" w:eastAsia="en-GB"/>
        </w:rPr>
        <w:t xml:space="preserve">they are </w:t>
      </w:r>
      <w:r w:rsidR="00BA1784" w:rsidRPr="00667A98">
        <w:rPr>
          <w:rFonts w:cs="Arial"/>
          <w:szCs w:val="24"/>
          <w:lang w:val="en-US" w:eastAsia="en-GB"/>
        </w:rPr>
        <w:t>subject to state regulation, oversight or control.</w:t>
      </w:r>
    </w:p>
    <w:p w:rsidR="00BA1784" w:rsidRPr="00667A98" w:rsidRDefault="00BA1784" w:rsidP="00B84C00">
      <w:pPr>
        <w:pStyle w:val="ListParagraph"/>
        <w:numPr>
          <w:ilvl w:val="0"/>
          <w:numId w:val="4"/>
        </w:numPr>
        <w:autoSpaceDE w:val="0"/>
        <w:autoSpaceDN w:val="0"/>
        <w:adjustRightInd w:val="0"/>
        <w:spacing w:after="0" w:line="240" w:lineRule="auto"/>
        <w:rPr>
          <w:rFonts w:cs="Arial"/>
          <w:szCs w:val="24"/>
          <w:lang w:val="en-US" w:eastAsia="en-GB"/>
        </w:rPr>
      </w:pPr>
      <w:r w:rsidRPr="00667A98">
        <w:rPr>
          <w:rFonts w:cs="Arial"/>
          <w:szCs w:val="24"/>
          <w:lang w:val="en-US" w:eastAsia="en-GB"/>
        </w:rPr>
        <w:t xml:space="preserve">the public have lost rights to access information under the Act </w:t>
      </w:r>
      <w:r w:rsidR="00B84C00">
        <w:rPr>
          <w:rFonts w:cs="Arial"/>
          <w:szCs w:val="24"/>
          <w:lang w:val="en-US" w:eastAsia="en-GB"/>
        </w:rPr>
        <w:t>due to the outsourcing of public service delivery. F</w:t>
      </w:r>
      <w:r w:rsidR="001E7F7D" w:rsidRPr="00667A98">
        <w:rPr>
          <w:rFonts w:cs="Arial"/>
          <w:szCs w:val="24"/>
          <w:lang w:val="en-US" w:eastAsia="en-GB"/>
        </w:rPr>
        <w:t>or example 15,000 council house ten</w:t>
      </w:r>
      <w:r w:rsidR="00B84C00">
        <w:rPr>
          <w:rFonts w:cs="Arial"/>
          <w:szCs w:val="24"/>
          <w:lang w:val="en-US" w:eastAsia="en-GB"/>
        </w:rPr>
        <w:t>an</w:t>
      </w:r>
      <w:r w:rsidR="001E7F7D" w:rsidRPr="00667A98">
        <w:rPr>
          <w:rFonts w:cs="Arial"/>
          <w:szCs w:val="24"/>
          <w:lang w:val="en-US" w:eastAsia="en-GB"/>
        </w:rPr>
        <w:t xml:space="preserve">ts lost their </w:t>
      </w:r>
      <w:r w:rsidR="00B84C00">
        <w:rPr>
          <w:rFonts w:cs="Arial"/>
          <w:szCs w:val="24"/>
          <w:lang w:val="en-US" w:eastAsia="en-GB"/>
        </w:rPr>
        <w:t xml:space="preserve">information </w:t>
      </w:r>
      <w:r w:rsidR="001E7F7D" w:rsidRPr="00667A98">
        <w:rPr>
          <w:rFonts w:cs="Arial"/>
          <w:szCs w:val="24"/>
          <w:lang w:val="en-US" w:eastAsia="en-GB"/>
        </w:rPr>
        <w:t>right</w:t>
      </w:r>
      <w:r w:rsidR="00B84C00">
        <w:rPr>
          <w:rFonts w:cs="Arial"/>
          <w:szCs w:val="24"/>
          <w:lang w:val="en-US" w:eastAsia="en-GB"/>
        </w:rPr>
        <w:t>s</w:t>
      </w:r>
      <w:r w:rsidR="001E7F7D" w:rsidRPr="00667A98">
        <w:rPr>
          <w:rFonts w:cs="Arial"/>
          <w:szCs w:val="24"/>
          <w:lang w:val="en-US" w:eastAsia="en-GB"/>
        </w:rPr>
        <w:t xml:space="preserve"> when their properties were </w:t>
      </w:r>
      <w:r w:rsidR="005E74E6" w:rsidRPr="00667A98">
        <w:rPr>
          <w:rFonts w:cs="Arial"/>
          <w:szCs w:val="24"/>
          <w:lang w:val="en-US" w:eastAsia="en-GB"/>
        </w:rPr>
        <w:t>transferred</w:t>
      </w:r>
      <w:r w:rsidR="001E7F7D" w:rsidRPr="00667A98">
        <w:rPr>
          <w:rFonts w:cs="Arial"/>
          <w:szCs w:val="24"/>
          <w:lang w:val="en-US" w:eastAsia="en-GB"/>
        </w:rPr>
        <w:t xml:space="preserve"> to RSLs.</w:t>
      </w:r>
    </w:p>
    <w:p w:rsidR="001E7F7D" w:rsidRPr="00667A98" w:rsidRDefault="001E7F7D" w:rsidP="00AC4A0C">
      <w:pPr>
        <w:pStyle w:val="ListParagraph"/>
        <w:numPr>
          <w:ilvl w:val="0"/>
          <w:numId w:val="4"/>
        </w:numPr>
        <w:autoSpaceDE w:val="0"/>
        <w:autoSpaceDN w:val="0"/>
        <w:adjustRightInd w:val="0"/>
        <w:spacing w:after="0" w:line="240" w:lineRule="auto"/>
        <w:rPr>
          <w:rFonts w:cs="Arial"/>
          <w:szCs w:val="24"/>
        </w:rPr>
      </w:pPr>
      <w:r w:rsidRPr="00667A98">
        <w:rPr>
          <w:rFonts w:cs="Arial"/>
          <w:szCs w:val="24"/>
          <w:lang w:val="en-US" w:eastAsia="en-GB"/>
        </w:rPr>
        <w:t>they achieve some collective benefit for the public and is accepted by the public as being entitled to do so eg on regeneration and wider action programmes.</w:t>
      </w:r>
    </w:p>
    <w:p w:rsidR="00F36782" w:rsidRDefault="00F36782" w:rsidP="005655C8">
      <w:pPr>
        <w:autoSpaceDE w:val="0"/>
        <w:autoSpaceDN w:val="0"/>
        <w:adjustRightInd w:val="0"/>
        <w:spacing w:after="0" w:line="240" w:lineRule="auto"/>
        <w:rPr>
          <w:rFonts w:cs="Arial"/>
          <w:b/>
          <w:szCs w:val="24"/>
        </w:rPr>
      </w:pPr>
    </w:p>
    <w:p w:rsidR="00705A14" w:rsidRDefault="00AA13A8" w:rsidP="005655C8">
      <w:pPr>
        <w:autoSpaceDE w:val="0"/>
        <w:autoSpaceDN w:val="0"/>
        <w:adjustRightInd w:val="0"/>
        <w:spacing w:after="0" w:line="240" w:lineRule="auto"/>
        <w:rPr>
          <w:rFonts w:cs="Arial"/>
          <w:b/>
          <w:szCs w:val="24"/>
        </w:rPr>
      </w:pPr>
      <w:r w:rsidRPr="00AA13A8">
        <w:rPr>
          <w:rFonts w:cs="Arial"/>
          <w:b/>
          <w:szCs w:val="24"/>
        </w:rPr>
        <w:t xml:space="preserve">4. </w:t>
      </w:r>
      <w:r w:rsidR="00705A14">
        <w:rPr>
          <w:rFonts w:cs="Arial"/>
          <w:b/>
          <w:szCs w:val="24"/>
        </w:rPr>
        <w:t>Issues</w:t>
      </w:r>
    </w:p>
    <w:p w:rsidR="008D273A" w:rsidRDefault="00705A14" w:rsidP="00F36782">
      <w:pPr>
        <w:spacing w:after="0" w:line="240" w:lineRule="auto"/>
        <w:rPr>
          <w:szCs w:val="24"/>
        </w:rPr>
      </w:pPr>
      <w:r w:rsidRPr="00F36782">
        <w:rPr>
          <w:rFonts w:cs="Arial"/>
          <w:szCs w:val="24"/>
        </w:rPr>
        <w:t xml:space="preserve">4.1 </w:t>
      </w:r>
      <w:r w:rsidR="00F36782" w:rsidRPr="00F36782">
        <w:t xml:space="preserve">The </w:t>
      </w:r>
      <w:r w:rsidR="00F36782">
        <w:t xml:space="preserve">Section 60 Code, emphasises that 20 working days is the maximum response time, and </w:t>
      </w:r>
      <w:r w:rsidR="00F36782" w:rsidRPr="00F36782">
        <w:rPr>
          <w:szCs w:val="24"/>
        </w:rPr>
        <w:t>if information is available sooner it should be disclosed promptly “Requests for information must be answered as soon as possible and within 20 working days.”</w:t>
      </w:r>
      <w:r w:rsidR="00F36782" w:rsidRPr="006217E7">
        <w:rPr>
          <w:rStyle w:val="FootnoteReference"/>
          <w:szCs w:val="24"/>
        </w:rPr>
        <w:footnoteReference w:id="9"/>
      </w:r>
      <w:r w:rsidR="00F36782" w:rsidRPr="00F36782">
        <w:rPr>
          <w:szCs w:val="24"/>
        </w:rPr>
        <w:t xml:space="preserve">  If a body has an effective information management system, then 20 days is a long period.  It should be noted that FoISA does not require an authority to create information, rather just provide information it holds.  CFoIS expects all RSLs to be subject to the 20-day response rule, particularly as it impacts on the timeframe for making appeals to OSIC.  We seek an assurance from the Scottish Government that the 20 d</w:t>
      </w:r>
      <w:r w:rsidR="008D273A">
        <w:rPr>
          <w:szCs w:val="24"/>
        </w:rPr>
        <w:t xml:space="preserve">ays’ response time will </w:t>
      </w:r>
      <w:r w:rsidR="00F36782" w:rsidRPr="00F36782">
        <w:rPr>
          <w:szCs w:val="24"/>
        </w:rPr>
        <w:t xml:space="preserve">apply </w:t>
      </w:r>
      <w:r w:rsidR="008D273A">
        <w:rPr>
          <w:szCs w:val="24"/>
        </w:rPr>
        <w:t xml:space="preserve">equally </w:t>
      </w:r>
      <w:r w:rsidR="00F36782" w:rsidRPr="00F36782">
        <w:rPr>
          <w:szCs w:val="24"/>
        </w:rPr>
        <w:t>across RSLs.</w:t>
      </w:r>
    </w:p>
    <w:p w:rsidR="00F36782" w:rsidRPr="00577EDD" w:rsidRDefault="00F36782" w:rsidP="00F36782">
      <w:pPr>
        <w:spacing w:after="0" w:line="240" w:lineRule="auto"/>
      </w:pPr>
    </w:p>
    <w:p w:rsidR="005D3E8B" w:rsidRDefault="00F36782" w:rsidP="005D3E8B">
      <w:pPr>
        <w:autoSpaceDE w:val="0"/>
        <w:autoSpaceDN w:val="0"/>
        <w:adjustRightInd w:val="0"/>
        <w:spacing w:after="0" w:line="240" w:lineRule="auto"/>
        <w:rPr>
          <w:rFonts w:cs="Arial"/>
          <w:szCs w:val="24"/>
          <w:lang w:val="en-US" w:eastAsia="en-GB"/>
        </w:rPr>
      </w:pPr>
      <w:r>
        <w:rPr>
          <w:rFonts w:cs="Arial"/>
          <w:szCs w:val="24"/>
        </w:rPr>
        <w:t xml:space="preserve">4.2 </w:t>
      </w:r>
      <w:r w:rsidR="00705A14">
        <w:rPr>
          <w:rFonts w:cs="Arial"/>
          <w:szCs w:val="24"/>
        </w:rPr>
        <w:t>The Scottish Government states that “</w:t>
      </w:r>
      <w:r w:rsidR="00705A14">
        <w:rPr>
          <w:rFonts w:cs="Arial"/>
          <w:szCs w:val="24"/>
          <w:lang w:val="en-US" w:eastAsia="en-GB"/>
        </w:rPr>
        <w:t>there are almost 160 non-local authority RSLs”</w:t>
      </w:r>
      <w:r w:rsidR="00705A14">
        <w:rPr>
          <w:rStyle w:val="FootnoteReference"/>
          <w:rFonts w:cs="Arial"/>
          <w:szCs w:val="24"/>
          <w:lang w:val="en-US" w:eastAsia="en-GB"/>
        </w:rPr>
        <w:footnoteReference w:id="10"/>
      </w:r>
      <w:r w:rsidR="00705A14">
        <w:rPr>
          <w:rFonts w:cs="Arial"/>
          <w:szCs w:val="24"/>
          <w:lang w:val="en-US" w:eastAsia="en-GB"/>
        </w:rPr>
        <w:t xml:space="preserve">  CFoIS agrees </w:t>
      </w:r>
      <w:r>
        <w:rPr>
          <w:rFonts w:cs="Arial"/>
          <w:szCs w:val="24"/>
          <w:lang w:val="en-US" w:eastAsia="en-GB"/>
        </w:rPr>
        <w:t>with</w:t>
      </w:r>
      <w:r w:rsidR="00705A14">
        <w:rPr>
          <w:rFonts w:cs="Arial"/>
          <w:szCs w:val="24"/>
          <w:lang w:val="en-US" w:eastAsia="en-GB"/>
        </w:rPr>
        <w:t xml:space="preserve"> the proposal to extend FoISA to all RSLs, irrespective of size is the right approach.  </w:t>
      </w:r>
      <w:r w:rsidR="005D3E8B">
        <w:rPr>
          <w:rFonts w:cs="Arial"/>
          <w:szCs w:val="24"/>
          <w:lang w:val="en-US" w:eastAsia="en-GB"/>
        </w:rPr>
        <w:t>CFoIS also accepts that FoISA should apply “insofar as their functions are recognised as being ‘of a public nature’.</w:t>
      </w:r>
    </w:p>
    <w:p w:rsidR="005D3E8B" w:rsidRDefault="005D3E8B" w:rsidP="005D3E8B">
      <w:pPr>
        <w:autoSpaceDE w:val="0"/>
        <w:autoSpaceDN w:val="0"/>
        <w:adjustRightInd w:val="0"/>
        <w:spacing w:after="0" w:line="240" w:lineRule="auto"/>
        <w:rPr>
          <w:rFonts w:cs="Arial"/>
          <w:szCs w:val="24"/>
          <w:lang w:val="en-US" w:eastAsia="en-GB"/>
        </w:rPr>
      </w:pPr>
    </w:p>
    <w:p w:rsidR="005D3E8B" w:rsidRDefault="00F36782" w:rsidP="005D3E8B">
      <w:pPr>
        <w:autoSpaceDE w:val="0"/>
        <w:autoSpaceDN w:val="0"/>
        <w:adjustRightInd w:val="0"/>
        <w:spacing w:after="0" w:line="240" w:lineRule="auto"/>
        <w:rPr>
          <w:rFonts w:cs="Arial"/>
          <w:szCs w:val="24"/>
          <w:lang w:val="en-US" w:eastAsia="en-GB"/>
        </w:rPr>
      </w:pPr>
      <w:r>
        <w:rPr>
          <w:rFonts w:cs="Arial"/>
          <w:szCs w:val="24"/>
          <w:lang w:val="en-US" w:eastAsia="en-GB"/>
        </w:rPr>
        <w:t>4.3</w:t>
      </w:r>
      <w:r w:rsidR="005D3E8B">
        <w:rPr>
          <w:rFonts w:cs="Arial"/>
          <w:szCs w:val="24"/>
          <w:lang w:val="en-US" w:eastAsia="en-GB"/>
        </w:rPr>
        <w:t xml:space="preserve"> </w:t>
      </w:r>
      <w:r w:rsidR="00705A14">
        <w:rPr>
          <w:rFonts w:cs="Arial"/>
          <w:szCs w:val="24"/>
          <w:lang w:val="en-US" w:eastAsia="en-GB"/>
        </w:rPr>
        <w:t xml:space="preserve">However opinions are sought on </w:t>
      </w:r>
      <w:r w:rsidR="005D3E8B">
        <w:rPr>
          <w:rFonts w:cs="Arial"/>
          <w:szCs w:val="24"/>
          <w:lang w:val="en-US" w:eastAsia="en-GB"/>
        </w:rPr>
        <w:t xml:space="preserve">RSL “subsidiaries” and </w:t>
      </w:r>
      <w:r w:rsidR="005E74E6">
        <w:rPr>
          <w:rFonts w:cs="Arial"/>
          <w:szCs w:val="24"/>
          <w:lang w:val="en-US" w:eastAsia="en-GB"/>
        </w:rPr>
        <w:t>CFoIS</w:t>
      </w:r>
      <w:r w:rsidR="005D3E8B">
        <w:rPr>
          <w:rFonts w:cs="Arial"/>
          <w:szCs w:val="24"/>
          <w:lang w:val="en-US" w:eastAsia="en-GB"/>
        </w:rPr>
        <w:t xml:space="preserve"> </w:t>
      </w:r>
      <w:r w:rsidR="005E74E6">
        <w:rPr>
          <w:rFonts w:cs="Arial"/>
          <w:szCs w:val="24"/>
          <w:lang w:val="en-US" w:eastAsia="en-GB"/>
        </w:rPr>
        <w:t>believes</w:t>
      </w:r>
      <w:r w:rsidR="005D3E8B">
        <w:rPr>
          <w:rFonts w:cs="Arial"/>
          <w:szCs w:val="24"/>
          <w:lang w:val="en-US" w:eastAsia="en-GB"/>
        </w:rPr>
        <w:t xml:space="preserve"> that </w:t>
      </w:r>
      <w:r w:rsidR="005E74E6">
        <w:rPr>
          <w:rFonts w:cs="Arial"/>
          <w:szCs w:val="24"/>
          <w:lang w:val="en-US" w:eastAsia="en-GB"/>
        </w:rPr>
        <w:t>insufficient</w:t>
      </w:r>
      <w:r w:rsidR="005D3E8B">
        <w:rPr>
          <w:rFonts w:cs="Arial"/>
          <w:szCs w:val="24"/>
          <w:lang w:val="en-US" w:eastAsia="en-GB"/>
        </w:rPr>
        <w:t xml:space="preserve"> information is provided </w:t>
      </w:r>
      <w:r>
        <w:rPr>
          <w:rFonts w:cs="Arial"/>
          <w:szCs w:val="24"/>
          <w:lang w:val="en-US" w:eastAsia="en-GB"/>
        </w:rPr>
        <w:t xml:space="preserve">within the consultation </w:t>
      </w:r>
      <w:r w:rsidR="005D3E8B">
        <w:rPr>
          <w:rFonts w:cs="Arial"/>
          <w:szCs w:val="24"/>
          <w:lang w:val="en-US" w:eastAsia="en-GB"/>
        </w:rPr>
        <w:t>on the numbers that exist and the nature of their functions</w:t>
      </w:r>
      <w:r>
        <w:rPr>
          <w:rFonts w:cs="Arial"/>
          <w:szCs w:val="24"/>
          <w:lang w:val="en-US" w:eastAsia="en-GB"/>
        </w:rPr>
        <w:t>, to form an opinion</w:t>
      </w:r>
      <w:r w:rsidR="005D3E8B">
        <w:rPr>
          <w:rFonts w:cs="Arial"/>
          <w:szCs w:val="24"/>
          <w:lang w:val="en-US" w:eastAsia="en-GB"/>
        </w:rPr>
        <w:t xml:space="preserve">: </w:t>
      </w:r>
    </w:p>
    <w:p w:rsidR="005D3E8B" w:rsidRDefault="005D3E8B" w:rsidP="005D3E8B">
      <w:pPr>
        <w:autoSpaceDE w:val="0"/>
        <w:autoSpaceDN w:val="0"/>
        <w:adjustRightInd w:val="0"/>
        <w:spacing w:after="0" w:line="240" w:lineRule="auto"/>
        <w:rPr>
          <w:rFonts w:cs="Arial"/>
          <w:szCs w:val="24"/>
          <w:lang w:val="en-US" w:eastAsia="en-GB"/>
        </w:rPr>
      </w:pP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“We note that some RSLs operate subsidiaries responsible for undertaking a wide</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range of functions. The proposal in this consultation is to bring within the scope of</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the Act RSLs rather than their subsidiaries (other than those RSLs which are</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themselves subsidiaries of a parent RSL).</w:t>
      </w:r>
    </w:p>
    <w:p w:rsidR="005D3E8B" w:rsidRDefault="005D3E8B" w:rsidP="005D3E8B">
      <w:pPr>
        <w:autoSpaceDE w:val="0"/>
        <w:autoSpaceDN w:val="0"/>
        <w:adjustRightInd w:val="0"/>
        <w:spacing w:after="0" w:line="240" w:lineRule="auto"/>
        <w:rPr>
          <w:rFonts w:cs="Arial"/>
          <w:szCs w:val="24"/>
          <w:lang w:val="en-US" w:eastAsia="en-GB"/>
        </w:rPr>
      </w:pP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 xml:space="preserve">As indicated above, </w:t>
      </w:r>
      <w:r w:rsidR="005E74E6">
        <w:rPr>
          <w:rFonts w:cs="Arial"/>
          <w:szCs w:val="24"/>
          <w:lang w:val="en-US" w:eastAsia="en-GB"/>
        </w:rPr>
        <w:t>for</w:t>
      </w:r>
      <w:r>
        <w:rPr>
          <w:rFonts w:cs="Arial"/>
          <w:szCs w:val="24"/>
          <w:lang w:val="en-US" w:eastAsia="en-GB"/>
        </w:rPr>
        <w:t xml:space="preserve"> bodies to be brought within scope of the Act they</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must be undertaking functions of a public nature. In terms of subsidiaries we do not</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consider that this is likely to be the case as subsidiaries are primarily created to</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operate commercially on the same basis as private companies providing similar</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services.”</w:t>
      </w:r>
    </w:p>
    <w:p w:rsidR="005D3E8B" w:rsidRDefault="005D3E8B" w:rsidP="005D3E8B">
      <w:pPr>
        <w:autoSpaceDE w:val="0"/>
        <w:autoSpaceDN w:val="0"/>
        <w:adjustRightInd w:val="0"/>
        <w:spacing w:after="0" w:line="240" w:lineRule="auto"/>
        <w:rPr>
          <w:rFonts w:cs="Arial"/>
          <w:szCs w:val="24"/>
          <w:lang w:val="en-US" w:eastAsia="en-GB"/>
        </w:rPr>
      </w:pP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However, we acknowledge that exceptions may apply and welcome comment on the</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issue of RSL subsidiaries, for example, in terms of their functions, the extent these</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lastRenderedPageBreak/>
        <w:t xml:space="preserve">might </w:t>
      </w:r>
      <w:r w:rsidR="005E74E6">
        <w:rPr>
          <w:rFonts w:cs="Arial"/>
          <w:szCs w:val="24"/>
          <w:lang w:val="en-US" w:eastAsia="en-GB"/>
        </w:rPr>
        <w:t>be</w:t>
      </w:r>
      <w:r>
        <w:rPr>
          <w:rFonts w:cs="Arial"/>
          <w:szCs w:val="24"/>
          <w:lang w:val="en-US" w:eastAsia="en-GB"/>
        </w:rPr>
        <w:t xml:space="preserve"> ‘of a public nature’ assessed against the factors set out in</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this consultation paper, as well as issues concerning their approach to openness and</w:t>
      </w:r>
    </w:p>
    <w:p w:rsidR="005D3E8B" w:rsidRDefault="005D3E8B" w:rsidP="005D3E8B">
      <w:pPr>
        <w:autoSpaceDE w:val="0"/>
        <w:autoSpaceDN w:val="0"/>
        <w:adjustRightInd w:val="0"/>
        <w:spacing w:after="0" w:line="240" w:lineRule="auto"/>
        <w:rPr>
          <w:rFonts w:cs="Arial"/>
          <w:szCs w:val="24"/>
          <w:lang w:val="en-US" w:eastAsia="en-GB"/>
        </w:rPr>
      </w:pPr>
      <w:r>
        <w:rPr>
          <w:rFonts w:cs="Arial"/>
          <w:szCs w:val="24"/>
          <w:lang w:val="en-US" w:eastAsia="en-GB"/>
        </w:rPr>
        <w:t>transparency.”</w:t>
      </w:r>
      <w:r>
        <w:rPr>
          <w:rStyle w:val="FootnoteReference"/>
          <w:rFonts w:cs="Arial"/>
          <w:szCs w:val="24"/>
          <w:lang w:val="en-US" w:eastAsia="en-GB"/>
        </w:rPr>
        <w:footnoteReference w:id="11"/>
      </w:r>
    </w:p>
    <w:p w:rsidR="005D3E8B" w:rsidRDefault="005D3E8B" w:rsidP="005655C8">
      <w:pPr>
        <w:autoSpaceDE w:val="0"/>
        <w:autoSpaceDN w:val="0"/>
        <w:adjustRightInd w:val="0"/>
        <w:spacing w:after="0" w:line="240" w:lineRule="auto"/>
        <w:rPr>
          <w:rFonts w:cs="Arial"/>
          <w:szCs w:val="24"/>
          <w:lang w:val="en-US" w:eastAsia="en-GB"/>
        </w:rPr>
      </w:pPr>
    </w:p>
    <w:p w:rsidR="005D3E8B" w:rsidRDefault="00F36782" w:rsidP="005D3E8B">
      <w:pPr>
        <w:autoSpaceDE w:val="0"/>
        <w:autoSpaceDN w:val="0"/>
        <w:adjustRightInd w:val="0"/>
        <w:spacing w:after="0" w:line="240" w:lineRule="auto"/>
        <w:rPr>
          <w:rFonts w:cs="Arial"/>
          <w:szCs w:val="24"/>
          <w:lang w:val="en-US" w:eastAsia="en-GB"/>
        </w:rPr>
      </w:pPr>
      <w:r>
        <w:rPr>
          <w:rFonts w:cs="Arial"/>
          <w:szCs w:val="24"/>
          <w:lang w:val="en-US" w:eastAsia="en-GB"/>
        </w:rPr>
        <w:t>4.4</w:t>
      </w:r>
      <w:r w:rsidR="005D3E8B">
        <w:rPr>
          <w:rFonts w:cs="Arial"/>
          <w:szCs w:val="24"/>
          <w:lang w:val="en-US" w:eastAsia="en-GB"/>
        </w:rPr>
        <w:t xml:space="preserve"> CFoIS therefore requests information on the precise number of subsidiaries that have been set up by RSLs and their functions, in order to form an opinion on this question.  We believe this is a </w:t>
      </w:r>
      <w:r w:rsidR="005E74E6">
        <w:rPr>
          <w:rFonts w:cs="Arial"/>
          <w:szCs w:val="24"/>
          <w:lang w:val="en-US" w:eastAsia="en-GB"/>
        </w:rPr>
        <w:t>legitimate</w:t>
      </w:r>
      <w:r w:rsidR="005D3E8B">
        <w:rPr>
          <w:rFonts w:cs="Arial"/>
          <w:szCs w:val="24"/>
          <w:lang w:val="en-US" w:eastAsia="en-GB"/>
        </w:rPr>
        <w:t xml:space="preserve"> request under FoISA as we </w:t>
      </w:r>
      <w:r w:rsidR="005E74E6">
        <w:rPr>
          <w:rFonts w:cs="Arial"/>
          <w:szCs w:val="24"/>
          <w:lang w:val="en-US" w:eastAsia="en-GB"/>
        </w:rPr>
        <w:t>believe</w:t>
      </w:r>
      <w:r w:rsidR="008D273A">
        <w:rPr>
          <w:rFonts w:cs="Arial"/>
          <w:szCs w:val="24"/>
          <w:lang w:val="en-US" w:eastAsia="en-GB"/>
        </w:rPr>
        <w:t xml:space="preserve"> the Scottish Government or</w:t>
      </w:r>
      <w:r w:rsidR="005D3E8B">
        <w:rPr>
          <w:rFonts w:cs="Arial"/>
          <w:szCs w:val="24"/>
          <w:lang w:val="en-US" w:eastAsia="en-GB"/>
        </w:rPr>
        <w:t xml:space="preserve"> the </w:t>
      </w:r>
      <w:r w:rsidR="005E74E6">
        <w:rPr>
          <w:rFonts w:cs="Arial"/>
          <w:szCs w:val="24"/>
          <w:lang w:val="en-US" w:eastAsia="en-GB"/>
        </w:rPr>
        <w:t>Scottish</w:t>
      </w:r>
      <w:r w:rsidR="005D3E8B">
        <w:rPr>
          <w:rFonts w:cs="Arial"/>
          <w:szCs w:val="24"/>
          <w:lang w:val="en-US" w:eastAsia="en-GB"/>
        </w:rPr>
        <w:t xml:space="preserve"> Housing Regulator should have the information.  </w:t>
      </w:r>
      <w:r w:rsidR="005E74E6">
        <w:rPr>
          <w:rFonts w:cs="Arial"/>
          <w:szCs w:val="24"/>
          <w:lang w:val="en-US" w:eastAsia="en-GB"/>
        </w:rPr>
        <w:t>Also,</w:t>
      </w:r>
      <w:r w:rsidR="005D3E8B">
        <w:rPr>
          <w:rFonts w:cs="Arial"/>
          <w:szCs w:val="24"/>
          <w:lang w:val="en-US" w:eastAsia="en-GB"/>
        </w:rPr>
        <w:t xml:space="preserve"> it is an issue under Article 10 of the ECHR in respect of the duties of Scottish Government Ministers</w:t>
      </w:r>
      <w:r>
        <w:rPr>
          <w:rFonts w:cs="Arial"/>
          <w:szCs w:val="24"/>
          <w:lang w:val="en-US" w:eastAsia="en-GB"/>
        </w:rPr>
        <w:t xml:space="preserve"> – see below</w:t>
      </w:r>
      <w:r w:rsidR="005D3E8B">
        <w:rPr>
          <w:rFonts w:cs="Arial"/>
          <w:szCs w:val="24"/>
          <w:lang w:val="en-US" w:eastAsia="en-GB"/>
        </w:rPr>
        <w:t>.</w:t>
      </w:r>
    </w:p>
    <w:p w:rsidR="005D3E8B" w:rsidRDefault="005D3E8B" w:rsidP="005D3E8B">
      <w:pPr>
        <w:autoSpaceDE w:val="0"/>
        <w:autoSpaceDN w:val="0"/>
        <w:adjustRightInd w:val="0"/>
        <w:spacing w:after="0" w:line="240" w:lineRule="auto"/>
        <w:rPr>
          <w:rFonts w:cs="Arial"/>
          <w:szCs w:val="24"/>
          <w:lang w:val="en-US" w:eastAsia="en-GB"/>
        </w:rPr>
      </w:pPr>
    </w:p>
    <w:p w:rsidR="005D3E8B" w:rsidRDefault="00F36782" w:rsidP="005D3E8B">
      <w:pPr>
        <w:autoSpaceDE w:val="0"/>
        <w:autoSpaceDN w:val="0"/>
        <w:adjustRightInd w:val="0"/>
        <w:spacing w:after="0" w:line="240" w:lineRule="auto"/>
        <w:rPr>
          <w:rFonts w:cs="Arial"/>
          <w:szCs w:val="24"/>
          <w:lang w:val="en-US" w:eastAsia="en-GB"/>
        </w:rPr>
      </w:pPr>
      <w:r>
        <w:rPr>
          <w:rFonts w:cs="Arial"/>
          <w:szCs w:val="24"/>
          <w:lang w:val="en-US" w:eastAsia="en-GB"/>
        </w:rPr>
        <w:t>4.5</w:t>
      </w:r>
      <w:r w:rsidR="005D3E8B">
        <w:rPr>
          <w:rFonts w:cs="Arial"/>
          <w:szCs w:val="24"/>
          <w:lang w:val="en-US" w:eastAsia="en-GB"/>
        </w:rPr>
        <w:t xml:space="preserve"> CFoIS is concerned that subsidiaries may operate in similar fashion to ALEOs in Scotland and we believe that all ALEOs should be covered by FoISA.</w:t>
      </w:r>
    </w:p>
    <w:p w:rsidR="005D3E8B" w:rsidRDefault="005D3E8B" w:rsidP="005D3E8B">
      <w:pPr>
        <w:autoSpaceDE w:val="0"/>
        <w:autoSpaceDN w:val="0"/>
        <w:adjustRightInd w:val="0"/>
        <w:spacing w:after="0" w:line="240" w:lineRule="auto"/>
        <w:rPr>
          <w:rFonts w:cs="Arial"/>
          <w:szCs w:val="24"/>
          <w:lang w:val="en-US" w:eastAsia="en-GB"/>
        </w:rPr>
      </w:pPr>
    </w:p>
    <w:p w:rsidR="005D3E8B" w:rsidRDefault="00F36782" w:rsidP="00B575B0">
      <w:pPr>
        <w:autoSpaceDE w:val="0"/>
        <w:autoSpaceDN w:val="0"/>
        <w:adjustRightInd w:val="0"/>
        <w:spacing w:after="0" w:line="240" w:lineRule="auto"/>
        <w:rPr>
          <w:rFonts w:cs="Arial"/>
          <w:szCs w:val="24"/>
          <w:lang w:val="en-US" w:eastAsia="en-GB"/>
        </w:rPr>
      </w:pPr>
      <w:r>
        <w:rPr>
          <w:rFonts w:cs="Arial"/>
          <w:szCs w:val="24"/>
          <w:lang w:val="en-US" w:eastAsia="en-GB"/>
        </w:rPr>
        <w:t>4.6</w:t>
      </w:r>
      <w:r w:rsidR="005D3E8B">
        <w:rPr>
          <w:rFonts w:cs="Arial"/>
          <w:szCs w:val="24"/>
          <w:lang w:val="en-US" w:eastAsia="en-GB"/>
        </w:rPr>
        <w:t xml:space="preserve"> CFoIS is aware that cultural change must accompany legal change.  We note that the vari</w:t>
      </w:r>
      <w:r w:rsidR="00DF61CB">
        <w:rPr>
          <w:rFonts w:cs="Arial"/>
          <w:szCs w:val="24"/>
          <w:lang w:val="en-US" w:eastAsia="en-GB"/>
        </w:rPr>
        <w:t>ous voluntary c</w:t>
      </w:r>
      <w:r w:rsidR="005D3E8B">
        <w:rPr>
          <w:rFonts w:cs="Arial"/>
          <w:szCs w:val="24"/>
          <w:lang w:val="en-US" w:eastAsia="en-GB"/>
        </w:rPr>
        <w:t xml:space="preserve">odes and Regulatory </w:t>
      </w:r>
      <w:r w:rsidR="00DF61CB">
        <w:rPr>
          <w:rFonts w:cs="Arial"/>
          <w:szCs w:val="24"/>
          <w:lang w:val="en-US" w:eastAsia="en-GB"/>
        </w:rPr>
        <w:t>Guidance</w:t>
      </w:r>
      <w:r w:rsidR="005D3E8B">
        <w:rPr>
          <w:rFonts w:cs="Arial"/>
          <w:szCs w:val="24"/>
          <w:lang w:val="en-US" w:eastAsia="en-GB"/>
        </w:rPr>
        <w:t xml:space="preserve"> have</w:t>
      </w:r>
      <w:r w:rsidR="00DF61CB">
        <w:rPr>
          <w:rFonts w:cs="Arial"/>
          <w:szCs w:val="24"/>
          <w:lang w:val="en-US" w:eastAsia="en-GB"/>
        </w:rPr>
        <w:t xml:space="preserve"> failed to </w:t>
      </w:r>
      <w:r w:rsidR="005E74E6">
        <w:rPr>
          <w:rFonts w:cs="Arial"/>
          <w:szCs w:val="24"/>
          <w:lang w:val="en-US" w:eastAsia="en-GB"/>
        </w:rPr>
        <w:t>detect</w:t>
      </w:r>
      <w:r w:rsidR="00DF61CB">
        <w:rPr>
          <w:rFonts w:cs="Arial"/>
          <w:szCs w:val="24"/>
          <w:lang w:val="en-US" w:eastAsia="en-GB"/>
        </w:rPr>
        <w:t xml:space="preserve"> </w:t>
      </w:r>
      <w:r w:rsidR="005E74E6">
        <w:rPr>
          <w:rFonts w:cs="Arial"/>
          <w:szCs w:val="24"/>
          <w:lang w:val="en-US" w:eastAsia="en-GB"/>
        </w:rPr>
        <w:t>problem</w:t>
      </w:r>
      <w:r w:rsidR="00B575B0">
        <w:rPr>
          <w:rFonts w:cs="Arial"/>
          <w:szCs w:val="24"/>
          <w:lang w:val="en-US" w:eastAsia="en-GB"/>
        </w:rPr>
        <w:t>s</w:t>
      </w:r>
      <w:r w:rsidR="00DF61CB">
        <w:rPr>
          <w:rFonts w:cs="Arial"/>
          <w:szCs w:val="24"/>
          <w:lang w:val="en-US" w:eastAsia="en-GB"/>
        </w:rPr>
        <w:t xml:space="preserve"> which exist and have failed to deliver </w:t>
      </w:r>
      <w:r w:rsidR="005D3E8B">
        <w:rPr>
          <w:rFonts w:cs="Arial"/>
          <w:szCs w:val="24"/>
          <w:lang w:val="en-US" w:eastAsia="en-GB"/>
        </w:rPr>
        <w:t xml:space="preserve">full transparency and accountability.  </w:t>
      </w:r>
      <w:r w:rsidR="00DF61CB">
        <w:rPr>
          <w:rFonts w:cs="Arial"/>
          <w:szCs w:val="24"/>
          <w:lang w:val="en-US" w:eastAsia="en-GB"/>
        </w:rPr>
        <w:t>CFoIS encourages RSLs to see FoISA as an opportunity to ensure good</w:t>
      </w:r>
      <w:r>
        <w:rPr>
          <w:rFonts w:cs="Arial"/>
          <w:szCs w:val="24"/>
          <w:lang w:val="en-US" w:eastAsia="en-GB"/>
        </w:rPr>
        <w:t xml:space="preserve"> </w:t>
      </w:r>
      <w:r w:rsidR="00DF61CB">
        <w:rPr>
          <w:rFonts w:cs="Arial"/>
          <w:szCs w:val="24"/>
          <w:lang w:val="en-US" w:eastAsia="en-GB"/>
        </w:rPr>
        <w:t>management, robust financial dealing and a pro-active willingness to be</w:t>
      </w:r>
      <w:r>
        <w:rPr>
          <w:rFonts w:cs="Arial"/>
          <w:szCs w:val="24"/>
          <w:lang w:val="en-US" w:eastAsia="en-GB"/>
        </w:rPr>
        <w:t xml:space="preserve"> </w:t>
      </w:r>
      <w:r w:rsidR="00DF61CB">
        <w:rPr>
          <w:rFonts w:cs="Arial"/>
          <w:szCs w:val="24"/>
          <w:lang w:val="en-US" w:eastAsia="en-GB"/>
        </w:rPr>
        <w:t>accountable.   This makes good business sense</w:t>
      </w:r>
      <w:r w:rsidR="00B575B0">
        <w:rPr>
          <w:rFonts w:cs="Arial"/>
          <w:szCs w:val="24"/>
          <w:lang w:val="en-US" w:eastAsia="en-GB"/>
        </w:rPr>
        <w:t xml:space="preserve"> and fulfills the Scottish Government’s ambition that “services that are high quality, continually improving, efficient and responsive to local people’s needs – and that people should be able to influence the decisions which affect their local area.”</w:t>
      </w:r>
      <w:r w:rsidR="00B575B0">
        <w:rPr>
          <w:rStyle w:val="FootnoteReference"/>
          <w:rFonts w:cs="Arial"/>
          <w:szCs w:val="24"/>
          <w:lang w:val="en-US" w:eastAsia="en-GB"/>
        </w:rPr>
        <w:footnoteReference w:id="12"/>
      </w:r>
    </w:p>
    <w:p w:rsidR="005D3E8B" w:rsidRDefault="005D3E8B" w:rsidP="005655C8">
      <w:pPr>
        <w:autoSpaceDE w:val="0"/>
        <w:autoSpaceDN w:val="0"/>
        <w:adjustRightInd w:val="0"/>
        <w:spacing w:after="0" w:line="240" w:lineRule="auto"/>
        <w:rPr>
          <w:rFonts w:cs="Arial"/>
          <w:szCs w:val="24"/>
          <w:lang w:val="en-US" w:eastAsia="en-GB"/>
        </w:rPr>
      </w:pPr>
    </w:p>
    <w:p w:rsidR="005D3E8B" w:rsidRPr="00AA13A8" w:rsidRDefault="005D3E8B" w:rsidP="005D3E8B">
      <w:pPr>
        <w:spacing w:after="0" w:line="240" w:lineRule="auto"/>
        <w:rPr>
          <w:rFonts w:cs="Arial"/>
          <w:szCs w:val="24"/>
          <w:u w:val="single"/>
        </w:rPr>
      </w:pPr>
      <w:r w:rsidRPr="00AA13A8">
        <w:rPr>
          <w:rFonts w:cs="Arial"/>
          <w:szCs w:val="24"/>
          <w:u w:val="single"/>
        </w:rPr>
        <w:t>Case Study</w:t>
      </w:r>
    </w:p>
    <w:p w:rsidR="005D3E8B" w:rsidRPr="00667A98" w:rsidRDefault="005D3E8B" w:rsidP="005D3E8B">
      <w:pPr>
        <w:pStyle w:val="NormalWeb"/>
        <w:shd w:val="clear" w:color="auto" w:fill="FFFFFF"/>
        <w:spacing w:after="0" w:line="240" w:lineRule="auto"/>
        <w:rPr>
          <w:rFonts w:ascii="Arial" w:eastAsia="Times New Roman" w:hAnsi="Arial" w:cs="Arial"/>
          <w:color w:val="000000"/>
        </w:rPr>
      </w:pPr>
      <w:r w:rsidRPr="00667A98">
        <w:rPr>
          <w:rFonts w:ascii="Arial" w:hAnsi="Arial" w:cs="Arial"/>
        </w:rPr>
        <w:t xml:space="preserve">Wishaw and District Housing </w:t>
      </w:r>
      <w:r w:rsidR="005E74E6" w:rsidRPr="00667A98">
        <w:rPr>
          <w:rFonts w:ascii="Arial" w:hAnsi="Arial" w:cs="Arial"/>
        </w:rPr>
        <w:t>Association</w:t>
      </w:r>
      <w:r w:rsidRPr="00667A98">
        <w:rPr>
          <w:rFonts w:ascii="Arial" w:hAnsi="Arial" w:cs="Arial"/>
        </w:rPr>
        <w:t xml:space="preserve"> </w:t>
      </w:r>
      <w:r w:rsidR="00F36782">
        <w:rPr>
          <w:rFonts w:ascii="Arial" w:hAnsi="Arial" w:cs="Arial"/>
        </w:rPr>
        <w:t>is now</w:t>
      </w:r>
      <w:r w:rsidRPr="00667A98">
        <w:rPr>
          <w:rFonts w:ascii="Arial" w:hAnsi="Arial" w:cs="Arial"/>
        </w:rPr>
        <w:t xml:space="preserve"> the subject of special measures by the Scottish Housing Regulator.  It has been reported that</w:t>
      </w:r>
      <w:r w:rsidR="00F36782">
        <w:rPr>
          <w:rFonts w:ascii="Arial" w:hAnsi="Arial" w:cs="Arial"/>
        </w:rPr>
        <w:t xml:space="preserve"> the</w:t>
      </w:r>
      <w:r w:rsidRPr="00667A98">
        <w:rPr>
          <w:rFonts w:ascii="Arial" w:hAnsi="Arial" w:cs="Arial"/>
        </w:rPr>
        <w:t xml:space="preserve"> “</w:t>
      </w:r>
      <w:r w:rsidRPr="00667A98">
        <w:rPr>
          <w:rFonts w:ascii="Arial" w:eastAsia="Times New Roman" w:hAnsi="Arial" w:cs="Arial"/>
          <w:color w:val="000000"/>
        </w:rPr>
        <w:t>watchdog slated the governance at the charity, saying it was intervening to protect tenants and to avoid more cash being lost”</w:t>
      </w:r>
      <w:r>
        <w:rPr>
          <w:rFonts w:ascii="Arial" w:eastAsia="Times New Roman" w:hAnsi="Arial" w:cs="Arial"/>
          <w:color w:val="000000"/>
        </w:rPr>
        <w:t xml:space="preserve">. </w:t>
      </w:r>
      <w:r w:rsidRPr="00667A98">
        <w:rPr>
          <w:rFonts w:ascii="Arial" w:eastAsia="Times New Roman" w:hAnsi="Arial" w:cs="Arial"/>
          <w:color w:val="000000"/>
        </w:rPr>
        <w:t xml:space="preserve"> </w:t>
      </w:r>
      <w:r w:rsidR="00036159">
        <w:rPr>
          <w:rFonts w:ascii="Arial" w:eastAsia="Times New Roman" w:hAnsi="Arial" w:cs="Arial"/>
          <w:color w:val="000000"/>
        </w:rPr>
        <w:t>It is reported that f</w:t>
      </w:r>
      <w:bookmarkStart w:id="0" w:name="_GoBack"/>
      <w:bookmarkEnd w:id="0"/>
      <w:r w:rsidRPr="00667A98">
        <w:rPr>
          <w:rFonts w:ascii="Arial" w:eastAsia="Times New Roman" w:hAnsi="Arial" w:cs="Arial"/>
          <w:color w:val="000000"/>
        </w:rPr>
        <w:t xml:space="preserve">ive new members have been appointed onto the board and the regulator has employed a manager to oversee operations.  An issue is </w:t>
      </w:r>
      <w:r w:rsidRPr="00346B7D">
        <w:rPr>
          <w:rFonts w:ascii="Arial" w:eastAsia="Times New Roman" w:hAnsi="Arial" w:cs="Arial"/>
          <w:color w:val="000000"/>
        </w:rPr>
        <w:t xml:space="preserve">the former Tesco site in Wishaw which the </w:t>
      </w:r>
      <w:r w:rsidRPr="00667A98">
        <w:rPr>
          <w:rFonts w:ascii="Arial" w:eastAsia="Times New Roman" w:hAnsi="Arial" w:cs="Arial"/>
          <w:color w:val="000000"/>
        </w:rPr>
        <w:t xml:space="preserve">RSL </w:t>
      </w:r>
      <w:r w:rsidRPr="00346B7D">
        <w:rPr>
          <w:rFonts w:ascii="Arial" w:eastAsia="Times New Roman" w:hAnsi="Arial" w:cs="Arial"/>
          <w:color w:val="000000"/>
        </w:rPr>
        <w:t xml:space="preserve">took over in 2010. </w:t>
      </w:r>
      <w:r w:rsidRPr="00667A98">
        <w:rPr>
          <w:rFonts w:ascii="Arial" w:eastAsia="Times New Roman" w:hAnsi="Arial" w:cs="Arial"/>
          <w:color w:val="000000"/>
        </w:rPr>
        <w:t>“</w:t>
      </w:r>
      <w:r w:rsidRPr="00346B7D">
        <w:rPr>
          <w:rFonts w:ascii="Arial" w:eastAsia="Times New Roman" w:hAnsi="Arial" w:cs="Arial"/>
          <w:color w:val="000000"/>
        </w:rPr>
        <w:t>Some £2.3m has been spent on the Main Street site so far yet it still remains a barren wasteland.</w:t>
      </w:r>
      <w:r w:rsidRPr="00667A98">
        <w:rPr>
          <w:rFonts w:ascii="Arial" w:eastAsia="Times New Roman" w:hAnsi="Arial" w:cs="Arial"/>
          <w:color w:val="000000"/>
        </w:rPr>
        <w:t>”</w:t>
      </w:r>
      <w:r w:rsidRPr="00667A98">
        <w:rPr>
          <w:rStyle w:val="FootnoteReference"/>
          <w:rFonts w:ascii="Arial" w:eastAsia="Times New Roman" w:hAnsi="Arial" w:cs="Arial"/>
          <w:color w:val="000000"/>
        </w:rPr>
        <w:footnoteReference w:id="13"/>
      </w:r>
      <w:r w:rsidRPr="00667A98">
        <w:rPr>
          <w:rFonts w:ascii="Arial" w:eastAsia="Times New Roman" w:hAnsi="Arial" w:cs="Arial"/>
          <w:color w:val="000000"/>
        </w:rPr>
        <w:t xml:space="preserve">  This case illustrates the advantage of the public having an </w:t>
      </w:r>
      <w:r w:rsidR="005E74E6" w:rsidRPr="00667A98">
        <w:rPr>
          <w:rFonts w:ascii="Arial" w:eastAsia="Times New Roman" w:hAnsi="Arial" w:cs="Arial"/>
          <w:color w:val="000000"/>
        </w:rPr>
        <w:t>enforceable</w:t>
      </w:r>
      <w:r w:rsidRPr="00667A98">
        <w:rPr>
          <w:rFonts w:ascii="Arial" w:eastAsia="Times New Roman" w:hAnsi="Arial" w:cs="Arial"/>
          <w:color w:val="000000"/>
        </w:rPr>
        <w:t xml:space="preserve"> right to access information as there are issues for the community as well as individual tenants.</w:t>
      </w:r>
    </w:p>
    <w:p w:rsidR="005D3E8B" w:rsidRPr="00705A14" w:rsidRDefault="005D3E8B" w:rsidP="005655C8">
      <w:pPr>
        <w:autoSpaceDE w:val="0"/>
        <w:autoSpaceDN w:val="0"/>
        <w:adjustRightInd w:val="0"/>
        <w:spacing w:after="0" w:line="240" w:lineRule="auto"/>
        <w:rPr>
          <w:rFonts w:cs="Arial"/>
          <w:szCs w:val="24"/>
        </w:rPr>
      </w:pPr>
    </w:p>
    <w:p w:rsidR="00AA13A8" w:rsidRPr="005655C8" w:rsidRDefault="00705A14" w:rsidP="005655C8">
      <w:pPr>
        <w:autoSpaceDE w:val="0"/>
        <w:autoSpaceDN w:val="0"/>
        <w:adjustRightInd w:val="0"/>
        <w:spacing w:after="0" w:line="240" w:lineRule="auto"/>
        <w:rPr>
          <w:rFonts w:cs="Arial"/>
          <w:b/>
          <w:bCs/>
          <w:szCs w:val="24"/>
          <w:lang w:val="en-US" w:eastAsia="en-GB"/>
        </w:rPr>
      </w:pPr>
      <w:r>
        <w:rPr>
          <w:rFonts w:cs="Arial"/>
          <w:b/>
          <w:szCs w:val="24"/>
        </w:rPr>
        <w:t xml:space="preserve">5. </w:t>
      </w:r>
      <w:r w:rsidR="005655C8">
        <w:rPr>
          <w:rFonts w:cs="Arial"/>
          <w:b/>
          <w:bCs/>
          <w:szCs w:val="24"/>
          <w:lang w:val="en-US" w:eastAsia="en-GB"/>
        </w:rPr>
        <w:t xml:space="preserve">Business and Regulatory Impact Assessment </w:t>
      </w:r>
      <w:r w:rsidR="005655C8">
        <w:rPr>
          <w:rFonts w:cs="Arial"/>
          <w:szCs w:val="24"/>
          <w:lang w:val="en-US" w:eastAsia="en-GB"/>
        </w:rPr>
        <w:t>(BRIA)</w:t>
      </w:r>
    </w:p>
    <w:p w:rsidR="001E7F7D" w:rsidRPr="00667A98" w:rsidRDefault="00F36782" w:rsidP="00667A98">
      <w:pPr>
        <w:autoSpaceDE w:val="0"/>
        <w:autoSpaceDN w:val="0"/>
        <w:adjustRightInd w:val="0"/>
        <w:spacing w:after="0" w:line="240" w:lineRule="auto"/>
        <w:rPr>
          <w:rFonts w:cs="Arial"/>
          <w:szCs w:val="24"/>
          <w:lang w:val="en-US" w:eastAsia="en-GB"/>
        </w:rPr>
      </w:pPr>
      <w:r>
        <w:rPr>
          <w:rFonts w:cs="Arial"/>
          <w:szCs w:val="24"/>
        </w:rPr>
        <w:t>5</w:t>
      </w:r>
      <w:r w:rsidR="00AA13A8">
        <w:rPr>
          <w:rFonts w:cs="Arial"/>
          <w:szCs w:val="24"/>
        </w:rPr>
        <w:t xml:space="preserve">.1 </w:t>
      </w:r>
      <w:r w:rsidR="001E7F7D" w:rsidRPr="00667A98">
        <w:rPr>
          <w:rFonts w:cs="Arial"/>
          <w:szCs w:val="24"/>
        </w:rPr>
        <w:t xml:space="preserve">We do not believe that </w:t>
      </w:r>
      <w:r w:rsidR="001E7F7D" w:rsidRPr="00667A98">
        <w:rPr>
          <w:rFonts w:cs="Arial"/>
          <w:szCs w:val="24"/>
          <w:lang w:val="en-US" w:eastAsia="en-GB"/>
        </w:rPr>
        <w:t xml:space="preserve">coverage would impose a significant administrative burden that may be considered to have a disproportionate business impact </w:t>
      </w:r>
      <w:r>
        <w:rPr>
          <w:rFonts w:cs="Arial"/>
          <w:szCs w:val="24"/>
          <w:lang w:val="en-US" w:eastAsia="en-GB"/>
        </w:rPr>
        <w:t xml:space="preserve">on RSLs </w:t>
      </w:r>
      <w:r w:rsidR="001E7F7D" w:rsidRPr="00667A98">
        <w:rPr>
          <w:rFonts w:cs="Arial"/>
          <w:szCs w:val="24"/>
          <w:lang w:val="en-US" w:eastAsia="en-GB"/>
        </w:rPr>
        <w:t>as:</w:t>
      </w:r>
    </w:p>
    <w:p w:rsidR="001E7F7D" w:rsidRPr="00AA13A8" w:rsidRDefault="001E7F7D" w:rsidP="00AC4A0C">
      <w:pPr>
        <w:pStyle w:val="ListParagraph"/>
        <w:numPr>
          <w:ilvl w:val="0"/>
          <w:numId w:val="6"/>
        </w:numPr>
        <w:autoSpaceDE w:val="0"/>
        <w:autoSpaceDN w:val="0"/>
        <w:adjustRightInd w:val="0"/>
        <w:spacing w:after="0" w:line="240" w:lineRule="auto"/>
        <w:rPr>
          <w:rFonts w:cs="Arial"/>
          <w:szCs w:val="24"/>
          <w:lang w:val="en-US" w:eastAsia="en-GB"/>
        </w:rPr>
      </w:pPr>
      <w:r w:rsidRPr="00AA13A8">
        <w:rPr>
          <w:rFonts w:cs="Arial"/>
          <w:szCs w:val="24"/>
          <w:lang w:val="en-US" w:eastAsia="en-GB"/>
        </w:rPr>
        <w:t>A core value of RSLs is accountability to their tenants;</w:t>
      </w:r>
    </w:p>
    <w:p w:rsidR="001E7F7D" w:rsidRDefault="001E7F7D" w:rsidP="00AC4A0C">
      <w:pPr>
        <w:pStyle w:val="ListParagraph"/>
        <w:numPr>
          <w:ilvl w:val="0"/>
          <w:numId w:val="6"/>
        </w:numPr>
        <w:autoSpaceDE w:val="0"/>
        <w:autoSpaceDN w:val="0"/>
        <w:adjustRightInd w:val="0"/>
        <w:spacing w:after="0" w:line="240" w:lineRule="auto"/>
        <w:rPr>
          <w:rFonts w:cs="Arial"/>
          <w:szCs w:val="24"/>
          <w:lang w:val="en-US" w:eastAsia="en-GB"/>
        </w:rPr>
      </w:pPr>
      <w:r w:rsidRPr="00AA13A8">
        <w:rPr>
          <w:rFonts w:cs="Arial"/>
          <w:szCs w:val="24"/>
          <w:lang w:val="en-US" w:eastAsia="en-GB"/>
        </w:rPr>
        <w:t xml:space="preserve">RSLs are already covered by the </w:t>
      </w:r>
      <w:r w:rsidR="005E74E6" w:rsidRPr="00AA13A8">
        <w:rPr>
          <w:rFonts w:cs="Arial"/>
          <w:szCs w:val="24"/>
          <w:lang w:val="en-US" w:eastAsia="en-GB"/>
        </w:rPr>
        <w:t>Environmental</w:t>
      </w:r>
      <w:r w:rsidRPr="00AA13A8">
        <w:rPr>
          <w:rFonts w:cs="Arial"/>
          <w:szCs w:val="24"/>
          <w:lang w:val="en-US" w:eastAsia="en-GB"/>
        </w:rPr>
        <w:t xml:space="preserve"> Information </w:t>
      </w:r>
      <w:r w:rsidR="00AA13A8" w:rsidRPr="00AA13A8">
        <w:rPr>
          <w:rFonts w:cs="Arial"/>
          <w:szCs w:val="24"/>
          <w:lang w:val="en-US" w:eastAsia="en-GB"/>
        </w:rPr>
        <w:t>Scotland R</w:t>
      </w:r>
      <w:r w:rsidRPr="00AA13A8">
        <w:rPr>
          <w:rFonts w:cs="Arial"/>
          <w:szCs w:val="24"/>
          <w:lang w:val="en-US" w:eastAsia="en-GB"/>
        </w:rPr>
        <w:t xml:space="preserve">egulations so they must already have a process established to identify if FoI requests should be answered under the EIRs.  </w:t>
      </w:r>
      <w:r w:rsidR="005E74E6" w:rsidRPr="00AA13A8">
        <w:rPr>
          <w:rFonts w:cs="Arial"/>
          <w:szCs w:val="24"/>
          <w:lang w:val="en-US" w:eastAsia="en-GB"/>
        </w:rPr>
        <w:t>So,</w:t>
      </w:r>
      <w:r w:rsidRPr="00AA13A8">
        <w:rPr>
          <w:rFonts w:cs="Arial"/>
          <w:szCs w:val="24"/>
          <w:lang w:val="en-US" w:eastAsia="en-GB"/>
        </w:rPr>
        <w:t xml:space="preserve"> robust </w:t>
      </w:r>
      <w:r w:rsidR="005E74E6" w:rsidRPr="00AA13A8">
        <w:rPr>
          <w:rFonts w:cs="Arial"/>
          <w:szCs w:val="24"/>
          <w:lang w:val="en-US" w:eastAsia="en-GB"/>
        </w:rPr>
        <w:t>administrative</w:t>
      </w:r>
      <w:r w:rsidRPr="00AA13A8">
        <w:rPr>
          <w:rFonts w:cs="Arial"/>
          <w:szCs w:val="24"/>
          <w:lang w:val="en-US" w:eastAsia="en-GB"/>
        </w:rPr>
        <w:t xml:space="preserve"> </w:t>
      </w:r>
      <w:r w:rsidR="005E74E6" w:rsidRPr="00AA13A8">
        <w:rPr>
          <w:rFonts w:cs="Arial"/>
          <w:szCs w:val="24"/>
          <w:lang w:val="en-US" w:eastAsia="en-GB"/>
        </w:rPr>
        <w:t>procedures</w:t>
      </w:r>
      <w:r w:rsidRPr="00AA13A8">
        <w:rPr>
          <w:rFonts w:cs="Arial"/>
          <w:szCs w:val="24"/>
          <w:lang w:val="en-US" w:eastAsia="en-GB"/>
        </w:rPr>
        <w:t xml:space="preserve"> already exist and this represents a further development.</w:t>
      </w:r>
    </w:p>
    <w:p w:rsidR="00DF61CB" w:rsidRDefault="00DF61CB" w:rsidP="00AC4A0C">
      <w:pPr>
        <w:pStyle w:val="ListParagraph"/>
        <w:numPr>
          <w:ilvl w:val="0"/>
          <w:numId w:val="6"/>
        </w:numPr>
        <w:autoSpaceDE w:val="0"/>
        <w:autoSpaceDN w:val="0"/>
        <w:adjustRightInd w:val="0"/>
        <w:spacing w:after="0" w:line="240" w:lineRule="auto"/>
        <w:rPr>
          <w:rFonts w:cs="Arial"/>
          <w:szCs w:val="24"/>
          <w:lang w:val="en-US" w:eastAsia="en-GB"/>
        </w:rPr>
      </w:pPr>
      <w:r>
        <w:rPr>
          <w:rFonts w:cs="Arial"/>
          <w:szCs w:val="24"/>
          <w:lang w:val="en-US" w:eastAsia="en-GB"/>
        </w:rPr>
        <w:t xml:space="preserve">Some RSLs say they </w:t>
      </w:r>
      <w:r w:rsidR="005E74E6">
        <w:rPr>
          <w:rFonts w:cs="Arial"/>
          <w:szCs w:val="24"/>
          <w:lang w:val="en-US" w:eastAsia="en-GB"/>
        </w:rPr>
        <w:t>abide</w:t>
      </w:r>
      <w:r>
        <w:rPr>
          <w:rFonts w:cs="Arial"/>
          <w:szCs w:val="24"/>
          <w:lang w:val="en-US" w:eastAsia="en-GB"/>
        </w:rPr>
        <w:t xml:space="preserve"> by FoISA on a voluntary basis so they must already have robust systems in place.</w:t>
      </w:r>
    </w:p>
    <w:p w:rsidR="003A59E5" w:rsidRDefault="003A59E5" w:rsidP="003A59E5">
      <w:pPr>
        <w:autoSpaceDE w:val="0"/>
        <w:autoSpaceDN w:val="0"/>
        <w:adjustRightInd w:val="0"/>
        <w:spacing w:after="0" w:line="240" w:lineRule="auto"/>
        <w:rPr>
          <w:rFonts w:cs="Arial"/>
          <w:szCs w:val="24"/>
          <w:lang w:val="en-US" w:eastAsia="en-GB"/>
        </w:rPr>
      </w:pPr>
    </w:p>
    <w:p w:rsidR="003A59E5" w:rsidRDefault="00F36782" w:rsidP="003A59E5">
      <w:pPr>
        <w:autoSpaceDE w:val="0"/>
        <w:autoSpaceDN w:val="0"/>
        <w:adjustRightInd w:val="0"/>
        <w:spacing w:after="0" w:line="240" w:lineRule="auto"/>
        <w:rPr>
          <w:rFonts w:cs="Arial"/>
          <w:szCs w:val="24"/>
          <w:lang w:val="en-US" w:eastAsia="en-GB"/>
        </w:rPr>
      </w:pPr>
      <w:r>
        <w:rPr>
          <w:rFonts w:cs="Arial"/>
          <w:szCs w:val="24"/>
          <w:lang w:val="en-US" w:eastAsia="en-GB"/>
        </w:rPr>
        <w:t>5</w:t>
      </w:r>
      <w:r w:rsidR="003A59E5">
        <w:rPr>
          <w:rFonts w:cs="Arial"/>
          <w:szCs w:val="24"/>
          <w:lang w:val="en-US" w:eastAsia="en-GB"/>
        </w:rPr>
        <w:t xml:space="preserve">.2 CFoIS notes that </w:t>
      </w:r>
      <w:r w:rsidR="003A59E5" w:rsidRPr="00F36782">
        <w:rPr>
          <w:rFonts w:cs="Arial"/>
          <w:b/>
          <w:szCs w:val="24"/>
          <w:lang w:val="en-US" w:eastAsia="en-GB"/>
        </w:rPr>
        <w:t>no</w:t>
      </w:r>
      <w:r w:rsidR="003A59E5">
        <w:rPr>
          <w:rFonts w:cs="Arial"/>
          <w:szCs w:val="24"/>
          <w:lang w:val="en-US" w:eastAsia="en-GB"/>
        </w:rPr>
        <w:t xml:space="preserve"> additional money was given to public </w:t>
      </w:r>
      <w:r w:rsidR="001812EB">
        <w:rPr>
          <w:rFonts w:cs="Arial"/>
          <w:szCs w:val="24"/>
          <w:lang w:val="en-US" w:eastAsia="en-GB"/>
        </w:rPr>
        <w:t>authorities</w:t>
      </w:r>
      <w:r w:rsidR="003A59E5">
        <w:rPr>
          <w:rFonts w:cs="Arial"/>
          <w:szCs w:val="24"/>
          <w:lang w:val="en-US" w:eastAsia="en-GB"/>
        </w:rPr>
        <w:t xml:space="preserve"> in Scotland to give effect to FoISA.  RSLs are therefore being treated equally ie they should have sound information systems already so giving FoISA effect is not an </w:t>
      </w:r>
      <w:r w:rsidR="001812EB">
        <w:rPr>
          <w:rFonts w:cs="Arial"/>
          <w:szCs w:val="24"/>
          <w:lang w:val="en-US" w:eastAsia="en-GB"/>
        </w:rPr>
        <w:t>onerous</w:t>
      </w:r>
      <w:r>
        <w:rPr>
          <w:rFonts w:cs="Arial"/>
          <w:szCs w:val="24"/>
          <w:lang w:val="en-US" w:eastAsia="en-GB"/>
        </w:rPr>
        <w:t>,</w:t>
      </w:r>
      <w:r w:rsidR="003A59E5">
        <w:rPr>
          <w:rFonts w:cs="Arial"/>
          <w:szCs w:val="24"/>
          <w:lang w:val="en-US" w:eastAsia="en-GB"/>
        </w:rPr>
        <w:t xml:space="preserve"> </w:t>
      </w:r>
      <w:r w:rsidR="001812EB">
        <w:rPr>
          <w:rFonts w:cs="Arial"/>
          <w:szCs w:val="24"/>
          <w:lang w:val="en-US" w:eastAsia="en-GB"/>
        </w:rPr>
        <w:t>additional</w:t>
      </w:r>
      <w:r w:rsidR="003A59E5">
        <w:rPr>
          <w:rFonts w:cs="Arial"/>
          <w:szCs w:val="24"/>
          <w:lang w:val="en-US" w:eastAsia="en-GB"/>
        </w:rPr>
        <w:t xml:space="preserve"> burden,</w:t>
      </w:r>
    </w:p>
    <w:p w:rsidR="003A59E5" w:rsidRDefault="003A59E5" w:rsidP="003A59E5">
      <w:pPr>
        <w:autoSpaceDE w:val="0"/>
        <w:autoSpaceDN w:val="0"/>
        <w:adjustRightInd w:val="0"/>
        <w:spacing w:after="0" w:line="240" w:lineRule="auto"/>
        <w:rPr>
          <w:rFonts w:cs="Arial"/>
          <w:szCs w:val="24"/>
          <w:lang w:val="en-US" w:eastAsia="en-GB"/>
        </w:rPr>
      </w:pPr>
    </w:p>
    <w:p w:rsidR="003A59E5" w:rsidRDefault="00F36782" w:rsidP="003A59E5">
      <w:pPr>
        <w:autoSpaceDE w:val="0"/>
        <w:autoSpaceDN w:val="0"/>
        <w:adjustRightInd w:val="0"/>
        <w:spacing w:after="0" w:line="240" w:lineRule="auto"/>
        <w:rPr>
          <w:rFonts w:cs="Arial"/>
          <w:szCs w:val="24"/>
          <w:lang w:val="en-US" w:eastAsia="en-GB"/>
        </w:rPr>
      </w:pPr>
      <w:r>
        <w:rPr>
          <w:rFonts w:cs="Arial"/>
          <w:szCs w:val="24"/>
          <w:lang w:val="en-US" w:eastAsia="en-GB"/>
        </w:rPr>
        <w:lastRenderedPageBreak/>
        <w:t>5</w:t>
      </w:r>
      <w:r w:rsidR="003A59E5">
        <w:rPr>
          <w:rFonts w:cs="Arial"/>
          <w:szCs w:val="24"/>
          <w:lang w:val="en-US" w:eastAsia="en-GB"/>
        </w:rPr>
        <w:t xml:space="preserve">.3 CFoIS notes that the Scottish </w:t>
      </w:r>
      <w:r w:rsidR="001812EB">
        <w:rPr>
          <w:rFonts w:cs="Arial"/>
          <w:szCs w:val="24"/>
          <w:lang w:val="en-US" w:eastAsia="en-GB"/>
        </w:rPr>
        <w:t>Executive</w:t>
      </w:r>
      <w:r w:rsidR="003A59E5">
        <w:rPr>
          <w:rFonts w:cs="Arial"/>
          <w:szCs w:val="24"/>
          <w:lang w:val="en-US" w:eastAsia="en-GB"/>
        </w:rPr>
        <w:t>, via the Scottish Public Information Group</w:t>
      </w:r>
      <w:r>
        <w:rPr>
          <w:rFonts w:cs="Arial"/>
          <w:szCs w:val="24"/>
          <w:lang w:val="en-US" w:eastAsia="en-GB"/>
        </w:rPr>
        <w:t>,</w:t>
      </w:r>
      <w:r w:rsidR="003A59E5">
        <w:rPr>
          <w:rFonts w:cs="Arial"/>
          <w:szCs w:val="24"/>
          <w:lang w:val="en-US" w:eastAsia="en-GB"/>
        </w:rPr>
        <w:t xml:space="preserve"> oversaw the delivery of free training across Scotland to help public </w:t>
      </w:r>
      <w:r w:rsidR="001812EB">
        <w:rPr>
          <w:rFonts w:cs="Arial"/>
          <w:szCs w:val="24"/>
          <w:lang w:val="en-US" w:eastAsia="en-GB"/>
        </w:rPr>
        <w:t>authorities</w:t>
      </w:r>
      <w:r w:rsidR="003A59E5">
        <w:rPr>
          <w:rFonts w:cs="Arial"/>
          <w:szCs w:val="24"/>
          <w:lang w:val="en-US" w:eastAsia="en-GB"/>
        </w:rPr>
        <w:t xml:space="preserve"> prepare</w:t>
      </w:r>
      <w:r>
        <w:rPr>
          <w:rFonts w:cs="Arial"/>
          <w:szCs w:val="24"/>
          <w:lang w:val="en-US" w:eastAsia="en-GB"/>
        </w:rPr>
        <w:t xml:space="preserve"> for the introduction of FoISA in 2003/2004</w:t>
      </w:r>
      <w:r w:rsidR="003A59E5">
        <w:rPr>
          <w:rFonts w:cs="Arial"/>
          <w:szCs w:val="24"/>
          <w:lang w:val="en-US" w:eastAsia="en-GB"/>
        </w:rPr>
        <w:t xml:space="preserve">.  CFoIS was pleased to participate in the training in a variety of locations across Scotland.  CFoIS suggest that the Scottish Government funds training or commissions </w:t>
      </w:r>
      <w:r w:rsidR="001812EB">
        <w:rPr>
          <w:rFonts w:cs="Arial"/>
          <w:szCs w:val="24"/>
          <w:lang w:val="en-US" w:eastAsia="en-GB"/>
        </w:rPr>
        <w:t>CFoIS</w:t>
      </w:r>
      <w:r w:rsidR="003A59E5">
        <w:rPr>
          <w:rFonts w:cs="Arial"/>
          <w:szCs w:val="24"/>
          <w:lang w:val="en-US" w:eastAsia="en-GB"/>
        </w:rPr>
        <w:t xml:space="preserve"> to deliver training with </w:t>
      </w:r>
      <w:r w:rsidR="001812EB">
        <w:rPr>
          <w:rFonts w:cs="Arial"/>
          <w:szCs w:val="24"/>
          <w:lang w:val="en-US" w:eastAsia="en-GB"/>
        </w:rPr>
        <w:t>individual</w:t>
      </w:r>
      <w:r w:rsidR="003A59E5">
        <w:rPr>
          <w:rFonts w:cs="Arial"/>
          <w:szCs w:val="24"/>
          <w:lang w:val="en-US" w:eastAsia="en-GB"/>
        </w:rPr>
        <w:t xml:space="preserve"> RSLs or to regi</w:t>
      </w:r>
      <w:r>
        <w:rPr>
          <w:rFonts w:cs="Arial"/>
          <w:szCs w:val="24"/>
          <w:lang w:val="en-US" w:eastAsia="en-GB"/>
        </w:rPr>
        <w:t>o</w:t>
      </w:r>
      <w:r w:rsidR="003A59E5">
        <w:rPr>
          <w:rFonts w:cs="Arial"/>
          <w:szCs w:val="24"/>
          <w:lang w:val="en-US" w:eastAsia="en-GB"/>
        </w:rPr>
        <w:t>nal groups</w:t>
      </w:r>
      <w:r w:rsidR="008D273A">
        <w:rPr>
          <w:rFonts w:cs="Arial"/>
          <w:szCs w:val="24"/>
          <w:lang w:val="en-US" w:eastAsia="en-GB"/>
        </w:rPr>
        <w:t>, and to tenants and requesters</w:t>
      </w:r>
      <w:r w:rsidR="003A59E5">
        <w:rPr>
          <w:rFonts w:cs="Arial"/>
          <w:szCs w:val="24"/>
          <w:lang w:val="en-US" w:eastAsia="en-GB"/>
        </w:rPr>
        <w:t>.</w:t>
      </w:r>
    </w:p>
    <w:p w:rsidR="003A59E5" w:rsidRDefault="003A59E5" w:rsidP="003A59E5">
      <w:pPr>
        <w:autoSpaceDE w:val="0"/>
        <w:autoSpaceDN w:val="0"/>
        <w:adjustRightInd w:val="0"/>
        <w:spacing w:after="0" w:line="240" w:lineRule="auto"/>
        <w:rPr>
          <w:rFonts w:cs="Arial"/>
          <w:szCs w:val="24"/>
          <w:lang w:val="en-US" w:eastAsia="en-GB"/>
        </w:rPr>
      </w:pPr>
    </w:p>
    <w:p w:rsidR="003A59E5" w:rsidRDefault="00F36782" w:rsidP="003A59E5">
      <w:pPr>
        <w:autoSpaceDE w:val="0"/>
        <w:autoSpaceDN w:val="0"/>
        <w:adjustRightInd w:val="0"/>
        <w:spacing w:after="0" w:line="240" w:lineRule="auto"/>
        <w:rPr>
          <w:rFonts w:cs="Arial"/>
          <w:szCs w:val="24"/>
          <w:lang w:val="en-US" w:eastAsia="en-GB"/>
        </w:rPr>
      </w:pPr>
      <w:r>
        <w:rPr>
          <w:rFonts w:cs="Arial"/>
          <w:szCs w:val="24"/>
          <w:lang w:val="en-US" w:eastAsia="en-GB"/>
        </w:rPr>
        <w:t>5</w:t>
      </w:r>
      <w:r w:rsidR="003A59E5">
        <w:rPr>
          <w:rFonts w:cs="Arial"/>
          <w:szCs w:val="24"/>
          <w:lang w:val="en-US" w:eastAsia="en-GB"/>
        </w:rPr>
        <w:t>.4 CFoIS, therefore, rejects the assertion that “There may be hidden costs to the public purse if an extension of coverage deters RSLs from competing for public funds, thus hindering competition and ultimately affecting the quality and cost of goods and services provided.”</w:t>
      </w:r>
      <w:r w:rsidR="003A59E5">
        <w:rPr>
          <w:rStyle w:val="FootnoteReference"/>
          <w:rFonts w:cs="Arial"/>
          <w:szCs w:val="24"/>
          <w:lang w:val="en-US" w:eastAsia="en-GB"/>
        </w:rPr>
        <w:footnoteReference w:id="14"/>
      </w:r>
      <w:r w:rsidR="003A59E5">
        <w:rPr>
          <w:rFonts w:cs="Arial"/>
          <w:szCs w:val="24"/>
          <w:lang w:val="en-US" w:eastAsia="en-GB"/>
        </w:rPr>
        <w:t xml:space="preserve">  Furthermore there needs to be a cultural change in that being covered by FoISA </w:t>
      </w:r>
      <w:r>
        <w:rPr>
          <w:rFonts w:cs="Arial"/>
          <w:szCs w:val="24"/>
          <w:lang w:val="en-US" w:eastAsia="en-GB"/>
        </w:rPr>
        <w:t>is accepted as a consequence of</w:t>
      </w:r>
      <w:r w:rsidR="003A59E5">
        <w:rPr>
          <w:rFonts w:cs="Arial"/>
          <w:szCs w:val="24"/>
          <w:lang w:val="en-US" w:eastAsia="en-GB"/>
        </w:rPr>
        <w:t xml:space="preserve"> doing business with the public sector in Scotland.</w:t>
      </w:r>
    </w:p>
    <w:p w:rsidR="003A59E5" w:rsidRDefault="003A59E5" w:rsidP="003A59E5">
      <w:pPr>
        <w:autoSpaceDE w:val="0"/>
        <w:autoSpaceDN w:val="0"/>
        <w:adjustRightInd w:val="0"/>
        <w:spacing w:after="0" w:line="240" w:lineRule="auto"/>
        <w:rPr>
          <w:rFonts w:cs="Arial"/>
          <w:szCs w:val="24"/>
          <w:lang w:val="en-US" w:eastAsia="en-GB"/>
        </w:rPr>
      </w:pPr>
    </w:p>
    <w:p w:rsidR="003A59E5" w:rsidRDefault="00F36782" w:rsidP="003A59E5">
      <w:pPr>
        <w:autoSpaceDE w:val="0"/>
        <w:autoSpaceDN w:val="0"/>
        <w:adjustRightInd w:val="0"/>
        <w:spacing w:after="0" w:line="240" w:lineRule="auto"/>
        <w:rPr>
          <w:rFonts w:cs="Arial"/>
          <w:szCs w:val="24"/>
          <w:lang w:val="en-US" w:eastAsia="en-GB"/>
        </w:rPr>
      </w:pPr>
      <w:r>
        <w:rPr>
          <w:rFonts w:cs="Arial"/>
          <w:szCs w:val="24"/>
          <w:lang w:val="en-US" w:eastAsia="en-GB"/>
        </w:rPr>
        <w:t>5</w:t>
      </w:r>
      <w:r w:rsidR="003A59E5">
        <w:rPr>
          <w:rFonts w:cs="Arial"/>
          <w:szCs w:val="24"/>
          <w:lang w:val="en-US" w:eastAsia="en-GB"/>
        </w:rPr>
        <w:t>.5 In terms of stakeholder engagement, CFoIS is interested to establish who the Scottish Government meets with given that it states: “In addition to the written consultation process, we will meet a number of organisations affected by the proposals.”</w:t>
      </w:r>
      <w:r w:rsidR="003A59E5">
        <w:rPr>
          <w:rStyle w:val="FootnoteReference"/>
          <w:rFonts w:cs="Arial"/>
          <w:szCs w:val="24"/>
          <w:lang w:val="en-US" w:eastAsia="en-GB"/>
        </w:rPr>
        <w:footnoteReference w:id="15"/>
      </w:r>
    </w:p>
    <w:p w:rsidR="003A59E5" w:rsidRDefault="003A59E5" w:rsidP="003A59E5">
      <w:pPr>
        <w:autoSpaceDE w:val="0"/>
        <w:autoSpaceDN w:val="0"/>
        <w:adjustRightInd w:val="0"/>
        <w:spacing w:after="0" w:line="240" w:lineRule="auto"/>
        <w:rPr>
          <w:rFonts w:cs="Arial"/>
          <w:szCs w:val="24"/>
          <w:lang w:val="en-US" w:eastAsia="en-GB"/>
        </w:rPr>
      </w:pPr>
    </w:p>
    <w:p w:rsidR="00AD5ECB" w:rsidRDefault="00F36782" w:rsidP="00AD5ECB">
      <w:pPr>
        <w:autoSpaceDE w:val="0"/>
        <w:autoSpaceDN w:val="0"/>
        <w:adjustRightInd w:val="0"/>
        <w:spacing w:after="0" w:line="240" w:lineRule="auto"/>
        <w:rPr>
          <w:rFonts w:cs="Arial"/>
          <w:szCs w:val="24"/>
          <w:lang w:val="en-US" w:eastAsia="en-GB"/>
        </w:rPr>
      </w:pPr>
      <w:r>
        <w:rPr>
          <w:rFonts w:cs="Arial"/>
          <w:szCs w:val="24"/>
          <w:lang w:val="en-US" w:eastAsia="en-GB"/>
        </w:rPr>
        <w:t>5</w:t>
      </w:r>
      <w:r w:rsidR="00AD5ECB">
        <w:rPr>
          <w:rFonts w:cs="Arial"/>
          <w:szCs w:val="24"/>
          <w:lang w:val="en-US" w:eastAsia="en-GB"/>
        </w:rPr>
        <w:t>.6 CFoIS recognises that 10,000 public sector bodies have operated under FoISA since 1</w:t>
      </w:r>
      <w:r w:rsidR="00AD5ECB" w:rsidRPr="00AD5ECB">
        <w:rPr>
          <w:rFonts w:cs="Arial"/>
          <w:szCs w:val="24"/>
          <w:vertAlign w:val="superscript"/>
          <w:lang w:val="en-US" w:eastAsia="en-GB"/>
        </w:rPr>
        <w:t>st</w:t>
      </w:r>
      <w:r w:rsidR="00AD5ECB">
        <w:rPr>
          <w:rFonts w:cs="Arial"/>
          <w:szCs w:val="24"/>
          <w:lang w:val="en-US" w:eastAsia="en-GB"/>
        </w:rPr>
        <w:t xml:space="preserve"> January 2005 and has continued to award contracts to the private sector.  </w:t>
      </w:r>
      <w:r w:rsidR="001812EB">
        <w:rPr>
          <w:rFonts w:cs="Arial"/>
          <w:szCs w:val="24"/>
          <w:lang w:val="en-US" w:eastAsia="en-GB"/>
        </w:rPr>
        <w:t>Therefore,</w:t>
      </w:r>
      <w:r w:rsidR="00AD5ECB">
        <w:rPr>
          <w:rFonts w:cs="Arial"/>
          <w:szCs w:val="24"/>
          <w:lang w:val="en-US" w:eastAsia="en-GB"/>
        </w:rPr>
        <w:t xml:space="preserve"> we do not anticipate </w:t>
      </w:r>
      <w:r w:rsidR="00790C6C">
        <w:rPr>
          <w:rFonts w:cs="Arial"/>
          <w:szCs w:val="24"/>
          <w:lang w:val="en-US" w:eastAsia="en-GB"/>
        </w:rPr>
        <w:t>FoISA coverage will</w:t>
      </w:r>
      <w:r w:rsidR="00AD5ECB">
        <w:rPr>
          <w:rFonts w:cs="Arial"/>
          <w:szCs w:val="24"/>
          <w:lang w:val="en-US" w:eastAsia="en-GB"/>
        </w:rPr>
        <w:t xml:space="preserve"> deter RSLs from commercial engagement with either public or</w:t>
      </w:r>
      <w:r w:rsidR="00790C6C">
        <w:rPr>
          <w:rFonts w:cs="Arial"/>
          <w:szCs w:val="24"/>
          <w:lang w:val="en-US" w:eastAsia="en-GB"/>
        </w:rPr>
        <w:t xml:space="preserve"> </w:t>
      </w:r>
      <w:r w:rsidR="00AD5ECB">
        <w:rPr>
          <w:rFonts w:cs="Arial"/>
          <w:szCs w:val="24"/>
          <w:lang w:val="en-US" w:eastAsia="en-GB"/>
        </w:rPr>
        <w:t>private sector partners.</w:t>
      </w:r>
    </w:p>
    <w:p w:rsidR="00790C6C" w:rsidRDefault="00790C6C" w:rsidP="00AD5ECB">
      <w:pPr>
        <w:autoSpaceDE w:val="0"/>
        <w:autoSpaceDN w:val="0"/>
        <w:adjustRightInd w:val="0"/>
        <w:spacing w:after="0" w:line="240" w:lineRule="auto"/>
        <w:rPr>
          <w:rFonts w:cs="Arial"/>
          <w:szCs w:val="24"/>
          <w:lang w:val="en-US" w:eastAsia="en-GB"/>
        </w:rPr>
      </w:pPr>
    </w:p>
    <w:p w:rsidR="00790C6C" w:rsidRDefault="008D273A" w:rsidP="00AD5ECB">
      <w:pPr>
        <w:autoSpaceDE w:val="0"/>
        <w:autoSpaceDN w:val="0"/>
        <w:adjustRightInd w:val="0"/>
        <w:spacing w:after="0" w:line="240" w:lineRule="auto"/>
        <w:rPr>
          <w:rFonts w:cs="Arial"/>
          <w:szCs w:val="24"/>
          <w:lang w:val="en-US" w:eastAsia="en-GB"/>
        </w:rPr>
      </w:pPr>
      <w:r>
        <w:rPr>
          <w:rFonts w:cs="Arial"/>
          <w:szCs w:val="24"/>
          <w:lang w:val="en-US" w:eastAsia="en-GB"/>
        </w:rPr>
        <w:t>5</w:t>
      </w:r>
      <w:r w:rsidR="00790C6C">
        <w:rPr>
          <w:rFonts w:cs="Arial"/>
          <w:szCs w:val="24"/>
          <w:lang w:val="en-US" w:eastAsia="en-GB"/>
        </w:rPr>
        <w:t>.7 CFoIS is pleased that consideration has been given to increasing the budget for OSIC to accommodate the increase in activity which will be a consequence of the new Order.  We suggest that the cost issue also be examined after the first year of operation, as well as the operation of the Order itself.</w:t>
      </w:r>
    </w:p>
    <w:p w:rsidR="00790C6C" w:rsidRDefault="00790C6C" w:rsidP="00AD5ECB">
      <w:pPr>
        <w:autoSpaceDE w:val="0"/>
        <w:autoSpaceDN w:val="0"/>
        <w:adjustRightInd w:val="0"/>
        <w:spacing w:after="0" w:line="240" w:lineRule="auto"/>
        <w:rPr>
          <w:rFonts w:cs="Arial"/>
          <w:szCs w:val="24"/>
          <w:lang w:val="en-US" w:eastAsia="en-GB"/>
        </w:rPr>
      </w:pPr>
    </w:p>
    <w:p w:rsidR="00790C6C" w:rsidRPr="00790C6C" w:rsidRDefault="008D273A" w:rsidP="00790C6C">
      <w:pPr>
        <w:autoSpaceDE w:val="0"/>
        <w:autoSpaceDN w:val="0"/>
        <w:adjustRightInd w:val="0"/>
        <w:spacing w:after="0" w:line="240" w:lineRule="auto"/>
        <w:rPr>
          <w:rFonts w:cs="Arial"/>
          <w:szCs w:val="24"/>
          <w:lang w:val="en-US" w:eastAsia="en-GB"/>
        </w:rPr>
      </w:pPr>
      <w:r>
        <w:rPr>
          <w:rFonts w:cs="Arial"/>
          <w:szCs w:val="24"/>
          <w:lang w:val="en-US" w:eastAsia="en-GB"/>
        </w:rPr>
        <w:t>5</w:t>
      </w:r>
      <w:r w:rsidR="00790C6C">
        <w:rPr>
          <w:rFonts w:cs="Arial"/>
          <w:szCs w:val="24"/>
          <w:lang w:val="en-US" w:eastAsia="en-GB"/>
        </w:rPr>
        <w:t xml:space="preserve">.8 CFoIS is surprised that no </w:t>
      </w:r>
      <w:r w:rsidR="001812EB">
        <w:rPr>
          <w:rFonts w:cs="Arial"/>
          <w:szCs w:val="24"/>
          <w:lang w:val="en-US" w:eastAsia="en-GB"/>
        </w:rPr>
        <w:t>reference</w:t>
      </w:r>
      <w:r w:rsidR="00790C6C">
        <w:rPr>
          <w:rFonts w:cs="Arial"/>
          <w:szCs w:val="24"/>
          <w:lang w:val="en-US" w:eastAsia="en-GB"/>
        </w:rPr>
        <w:t xml:space="preserve"> has been made to the UN’s Guiding Principles on Business and Human Rights (UNGPs) which are currently being given effect in Scotland through the development of a Scottish National Action Plan (NAP)</w:t>
      </w:r>
      <w:r w:rsidR="00AC0BEE">
        <w:rPr>
          <w:rStyle w:val="FootnoteReference"/>
          <w:rFonts w:cs="Arial"/>
          <w:szCs w:val="24"/>
          <w:lang w:val="en-US" w:eastAsia="en-GB"/>
        </w:rPr>
        <w:footnoteReference w:id="16"/>
      </w:r>
      <w:r w:rsidR="00790C6C">
        <w:rPr>
          <w:rFonts w:cs="Arial"/>
          <w:szCs w:val="24"/>
          <w:lang w:val="en-US" w:eastAsia="en-GB"/>
        </w:rPr>
        <w:t xml:space="preserve">.  The UK NAP was adopted in 2013 and updated in May 2016.  </w:t>
      </w:r>
      <w:r w:rsidR="001812EB">
        <w:rPr>
          <w:rFonts w:cs="Arial"/>
          <w:szCs w:val="24"/>
          <w:lang w:val="en-US" w:eastAsia="en-GB"/>
        </w:rPr>
        <w:t>Transparency</w:t>
      </w:r>
      <w:r w:rsidR="00790C6C">
        <w:rPr>
          <w:rFonts w:cs="Arial"/>
          <w:szCs w:val="24"/>
          <w:lang w:val="en-US" w:eastAsia="en-GB"/>
        </w:rPr>
        <w:t xml:space="preserve"> is a theme across the UNGPs.  For </w:t>
      </w:r>
      <w:r w:rsidR="001812EB">
        <w:rPr>
          <w:rFonts w:cs="Arial"/>
          <w:szCs w:val="24"/>
          <w:lang w:val="en-US" w:eastAsia="en-GB"/>
        </w:rPr>
        <w:t>example,</w:t>
      </w:r>
      <w:r w:rsidR="00790C6C">
        <w:rPr>
          <w:rFonts w:cs="Arial"/>
          <w:szCs w:val="24"/>
          <w:lang w:val="en-US" w:eastAsia="en-GB"/>
        </w:rPr>
        <w:t xml:space="preserve"> Pillar 1 is </w:t>
      </w:r>
      <w:r w:rsidR="00790C6C" w:rsidRPr="00790C6C">
        <w:rPr>
          <w:rFonts w:cs="Arial"/>
          <w:szCs w:val="24"/>
          <w:lang w:val="en-US" w:eastAsia="en-GB"/>
        </w:rPr>
        <w:t xml:space="preserve">“States must protect against human rights abuse within their territory and/or jurisdiction by third parties, including business </w:t>
      </w:r>
      <w:r w:rsidR="001812EB" w:rsidRPr="00790C6C">
        <w:rPr>
          <w:rFonts w:cs="Arial"/>
          <w:szCs w:val="24"/>
          <w:lang w:val="en-US" w:eastAsia="en-GB"/>
        </w:rPr>
        <w:t>enterprises” and</w:t>
      </w:r>
      <w:r w:rsidR="00790C6C" w:rsidRPr="00790C6C">
        <w:rPr>
          <w:rFonts w:cs="Arial"/>
          <w:szCs w:val="24"/>
          <w:lang w:val="en-US" w:eastAsia="en-GB"/>
        </w:rPr>
        <w:t xml:space="preserve"> this duty c</w:t>
      </w:r>
      <w:r w:rsidR="00790C6C">
        <w:rPr>
          <w:rFonts w:cs="Arial"/>
          <w:szCs w:val="24"/>
          <w:lang w:val="en-US" w:eastAsia="en-GB"/>
        </w:rPr>
        <w:t>an be given effect through tran</w:t>
      </w:r>
      <w:r w:rsidR="00790C6C" w:rsidRPr="00790C6C">
        <w:rPr>
          <w:rFonts w:cs="Arial"/>
          <w:szCs w:val="24"/>
          <w:lang w:val="en-US" w:eastAsia="en-GB"/>
        </w:rPr>
        <w:t>sparency.</w:t>
      </w:r>
      <w:r w:rsidR="00790C6C">
        <w:rPr>
          <w:rStyle w:val="FootnoteReference"/>
          <w:rFonts w:cs="Arial"/>
          <w:szCs w:val="24"/>
          <w:lang w:val="en-US" w:eastAsia="en-GB"/>
        </w:rPr>
        <w:footnoteReference w:id="17"/>
      </w:r>
    </w:p>
    <w:p w:rsidR="00AA13A8" w:rsidRDefault="00AA13A8" w:rsidP="00577EDD">
      <w:pPr>
        <w:spacing w:after="0" w:line="240" w:lineRule="auto"/>
        <w:rPr>
          <w:rFonts w:cs="Arial"/>
          <w:szCs w:val="24"/>
        </w:rPr>
      </w:pPr>
    </w:p>
    <w:p w:rsidR="00346B7D" w:rsidRDefault="008D273A" w:rsidP="00577EDD">
      <w:pPr>
        <w:spacing w:after="0" w:line="240" w:lineRule="auto"/>
        <w:rPr>
          <w:rFonts w:cs="Arial"/>
          <w:b/>
          <w:szCs w:val="24"/>
        </w:rPr>
      </w:pPr>
      <w:r>
        <w:rPr>
          <w:rFonts w:cs="Arial"/>
          <w:szCs w:val="24"/>
        </w:rPr>
        <w:t>6</w:t>
      </w:r>
      <w:r w:rsidR="00AA13A8">
        <w:rPr>
          <w:rFonts w:cs="Arial"/>
          <w:szCs w:val="24"/>
        </w:rPr>
        <w:t>.</w:t>
      </w:r>
      <w:r w:rsidR="00BA1784">
        <w:rPr>
          <w:rFonts w:cs="Arial"/>
          <w:szCs w:val="24"/>
        </w:rPr>
        <w:t xml:space="preserve"> </w:t>
      </w:r>
      <w:r w:rsidR="00A71C97" w:rsidRPr="00577EDD">
        <w:rPr>
          <w:rFonts w:cs="Arial"/>
          <w:b/>
          <w:szCs w:val="24"/>
        </w:rPr>
        <w:t>Human Rights</w:t>
      </w:r>
    </w:p>
    <w:p w:rsidR="00346B7D" w:rsidRPr="00AA13A8" w:rsidRDefault="008D273A" w:rsidP="00577EDD">
      <w:pPr>
        <w:spacing w:after="0" w:line="240" w:lineRule="auto"/>
        <w:rPr>
          <w:rFonts w:cs="Arial"/>
          <w:szCs w:val="24"/>
        </w:rPr>
      </w:pPr>
      <w:r>
        <w:rPr>
          <w:rFonts w:cs="Arial"/>
          <w:szCs w:val="24"/>
        </w:rPr>
        <w:t>6</w:t>
      </w:r>
      <w:r w:rsidR="005E74E6">
        <w:rPr>
          <w:rFonts w:cs="Arial"/>
          <w:szCs w:val="24"/>
        </w:rPr>
        <w:t>.1 RSLs</w:t>
      </w:r>
      <w:r w:rsidR="00346B7D" w:rsidRPr="00AA13A8">
        <w:rPr>
          <w:rFonts w:cs="Arial"/>
          <w:szCs w:val="24"/>
        </w:rPr>
        <w:t xml:space="preserve"> are covered by the Human Rights Act 1998 so that impacts on how the Scottish Parliament should </w:t>
      </w:r>
      <w:r w:rsidR="005E74E6">
        <w:rPr>
          <w:rFonts w:cs="Arial"/>
          <w:szCs w:val="24"/>
        </w:rPr>
        <w:t>reform</w:t>
      </w:r>
      <w:r w:rsidR="00346B7D" w:rsidRPr="00AA13A8">
        <w:rPr>
          <w:rFonts w:cs="Arial"/>
          <w:szCs w:val="24"/>
        </w:rPr>
        <w:t xml:space="preserve"> FoISA.</w:t>
      </w:r>
    </w:p>
    <w:p w:rsidR="00346B7D" w:rsidRDefault="00346B7D" w:rsidP="00577EDD">
      <w:pPr>
        <w:spacing w:after="0" w:line="240" w:lineRule="auto"/>
        <w:rPr>
          <w:rFonts w:cs="Arial"/>
          <w:b/>
          <w:szCs w:val="24"/>
        </w:rPr>
      </w:pPr>
    </w:p>
    <w:p w:rsidR="00346B7D" w:rsidRDefault="008D273A" w:rsidP="00AA13A8">
      <w:pPr>
        <w:spacing w:after="0" w:line="240" w:lineRule="auto"/>
      </w:pPr>
      <w:r>
        <w:t>6</w:t>
      </w:r>
      <w:r w:rsidR="00AA13A8">
        <w:t xml:space="preserve">.2 </w:t>
      </w:r>
      <w:r w:rsidR="00346B7D" w:rsidRPr="00CE2865">
        <w:t>Accessing information in Scotland is generally assumed to be a right derived only from the Freedom of Information (Scotland) Act 2002 (FoISA)</w:t>
      </w:r>
      <w:r w:rsidR="00346B7D">
        <w:t xml:space="preserve"> and the Freedom of Information Act 2000</w:t>
      </w:r>
      <w:r w:rsidR="00346B7D" w:rsidRPr="00CE2865">
        <w:t xml:space="preserve">.  </w:t>
      </w:r>
      <w:r w:rsidR="005E74E6" w:rsidRPr="00CE2865">
        <w:t>However,</w:t>
      </w:r>
      <w:r w:rsidR="00346B7D" w:rsidRPr="00CE2865">
        <w:t xml:space="preserve"> the UK has ratified </w:t>
      </w:r>
      <w:r w:rsidR="005E74E6" w:rsidRPr="00CE2865">
        <w:t>several</w:t>
      </w:r>
      <w:r w:rsidR="00346B7D" w:rsidRPr="00CE2865">
        <w:t xml:space="preserve"> international human rights treaties which specifically define a right to access information.  Ratification means that all our laws and policies should comply.  </w:t>
      </w:r>
      <w:r w:rsidR="00346B7D">
        <w:t>In reality t</w:t>
      </w:r>
      <w:r w:rsidR="00346B7D" w:rsidRPr="00CE2865">
        <w:t xml:space="preserve">here are problems in enforcing such rights </w:t>
      </w:r>
      <w:r w:rsidR="00346B7D">
        <w:t>i</w:t>
      </w:r>
      <w:r w:rsidR="00346B7D" w:rsidRPr="00CE2865">
        <w:t>n domestic courts which has b</w:t>
      </w:r>
      <w:r w:rsidR="00346B7D">
        <w:t>een the subject of some comment</w:t>
      </w:r>
      <w:r w:rsidR="00346B7D" w:rsidRPr="00CE2865">
        <w:t xml:space="preserve"> over the years when the United Nations (UN) periodically reviews UK compliance with human rights treaty obligations.</w:t>
      </w:r>
    </w:p>
    <w:p w:rsidR="00705A14" w:rsidRDefault="00705A14" w:rsidP="00AA13A8">
      <w:pPr>
        <w:spacing w:after="0" w:line="240" w:lineRule="auto"/>
      </w:pPr>
    </w:p>
    <w:p w:rsidR="00A029AF" w:rsidRDefault="008D273A" w:rsidP="00AA13A8">
      <w:pPr>
        <w:autoSpaceDE w:val="0"/>
        <w:autoSpaceDN w:val="0"/>
        <w:adjustRightInd w:val="0"/>
        <w:spacing w:after="0" w:line="240" w:lineRule="auto"/>
        <w:rPr>
          <w:rFonts w:cs="Arial"/>
        </w:rPr>
      </w:pPr>
      <w:r>
        <w:rPr>
          <w:rFonts w:cs="Arial"/>
        </w:rPr>
        <w:t>6</w:t>
      </w:r>
      <w:r w:rsidR="00A029AF">
        <w:rPr>
          <w:rFonts w:cs="Arial"/>
        </w:rPr>
        <w:t xml:space="preserve">.3 </w:t>
      </w:r>
      <w:r w:rsidR="00346B7D">
        <w:rPr>
          <w:rFonts w:cs="Arial"/>
        </w:rPr>
        <w:t xml:space="preserve">The Scottish Parliament and the Scottish Government have clear obligations in respect of human rights due to the UK’s ratification of regional and international human rights laws under Articles 29, </w:t>
      </w:r>
      <w:r w:rsidR="00346B7D">
        <w:rPr>
          <w:rFonts w:cs="Arial"/>
        </w:rPr>
        <w:lastRenderedPageBreak/>
        <w:t>57, 100 and Schedule 5 of the Scotland Act 1998.  Having such power has enabled the Scottish Parliament to pass the Commissioner for Children and Young People’s (Scotland) Act 2003</w:t>
      </w:r>
      <w:r w:rsidR="00346B7D">
        <w:rPr>
          <w:rStyle w:val="FootnoteReference"/>
          <w:rFonts w:cs="Arial"/>
        </w:rPr>
        <w:footnoteReference w:id="18"/>
      </w:r>
      <w:r w:rsidR="00346B7D">
        <w:rPr>
          <w:rFonts w:cs="Arial"/>
        </w:rPr>
        <w:t xml:space="preserve"> which lists functions in respect of the UN Convention on the Rights of the Child and gives duties to the Scottish Human Rights Commission in respect of ratified treaties</w:t>
      </w:r>
      <w:r w:rsidR="00346B7D">
        <w:rPr>
          <w:rStyle w:val="FootnoteReference"/>
          <w:rFonts w:cs="Arial"/>
        </w:rPr>
        <w:footnoteReference w:id="19"/>
      </w:r>
      <w:r w:rsidR="00346B7D">
        <w:rPr>
          <w:rFonts w:cs="Arial"/>
        </w:rPr>
        <w:t>.</w:t>
      </w:r>
    </w:p>
    <w:p w:rsidR="00346B7D" w:rsidRDefault="00346B7D" w:rsidP="00AA13A8">
      <w:pPr>
        <w:autoSpaceDE w:val="0"/>
        <w:autoSpaceDN w:val="0"/>
        <w:adjustRightInd w:val="0"/>
        <w:spacing w:after="0" w:line="240" w:lineRule="auto"/>
        <w:rPr>
          <w:rFonts w:cs="Arial"/>
        </w:rPr>
      </w:pPr>
      <w:r>
        <w:rPr>
          <w:rFonts w:cs="Arial"/>
        </w:rPr>
        <w:t xml:space="preserve">  </w:t>
      </w:r>
    </w:p>
    <w:p w:rsidR="00346B7D" w:rsidRDefault="008D273A" w:rsidP="00AA13A8">
      <w:pPr>
        <w:autoSpaceDE w:val="0"/>
        <w:autoSpaceDN w:val="0"/>
        <w:adjustRightInd w:val="0"/>
        <w:spacing w:after="0" w:line="240" w:lineRule="auto"/>
        <w:rPr>
          <w:rFonts w:cs="Arial"/>
        </w:rPr>
      </w:pPr>
      <w:r>
        <w:rPr>
          <w:rFonts w:cs="Arial"/>
        </w:rPr>
        <w:t>6</w:t>
      </w:r>
      <w:r w:rsidR="00A029AF">
        <w:rPr>
          <w:rFonts w:cs="Arial"/>
        </w:rPr>
        <w:t xml:space="preserve">.4 </w:t>
      </w:r>
      <w:r w:rsidR="008301C1">
        <w:rPr>
          <w:rFonts w:cs="Arial"/>
        </w:rPr>
        <w:t>To</w:t>
      </w:r>
      <w:r w:rsidR="00346B7D">
        <w:rPr>
          <w:rFonts w:cs="Arial"/>
        </w:rPr>
        <w:t xml:space="preserve"> provide guidance and clarity on the interpretation of articles within UN treaties, ‘General Comments’ are published and updated.  For </w:t>
      </w:r>
      <w:r w:rsidR="005E74E6">
        <w:rPr>
          <w:rFonts w:cs="Arial"/>
        </w:rPr>
        <w:t>example,</w:t>
      </w:r>
      <w:r w:rsidR="00346B7D">
        <w:rPr>
          <w:rFonts w:cs="Arial"/>
        </w:rPr>
        <w:t xml:space="preserve"> the UN Human Rights Committee issued General Comment 34 on Article 19 of the International Covenant on Civil and Political Rights (ICCPR), on freedom of opinion and expression, which extends the right to include access to information: </w:t>
      </w:r>
    </w:p>
    <w:p w:rsidR="00346B7D" w:rsidRDefault="00346B7D" w:rsidP="00AA13A8">
      <w:pPr>
        <w:autoSpaceDE w:val="0"/>
        <w:autoSpaceDN w:val="0"/>
        <w:adjustRightInd w:val="0"/>
        <w:spacing w:after="0" w:line="240" w:lineRule="auto"/>
        <w:rPr>
          <w:rFonts w:cs="Arial"/>
        </w:rPr>
      </w:pPr>
      <w:r>
        <w:rPr>
          <w:rFonts w:cs="Arial"/>
        </w:rPr>
        <w:t>“To give effect to the right of access to information, States parties should proactively put in the public domain Government information of public interest. States parties should make every effort to ensure easy, prompt, effective and practical access to such information. States parties should also enact the necessary procedures, whereby one may gain access to information, such as by means of freedom of information legislation.</w:t>
      </w:r>
      <w:r>
        <w:rPr>
          <w:rFonts w:cs="Arial"/>
          <w:vertAlign w:val="superscript"/>
        </w:rPr>
        <w:t xml:space="preserve"> </w:t>
      </w:r>
      <w:r>
        <w:rPr>
          <w:rFonts w:cs="Arial"/>
        </w:rPr>
        <w:t>The procedures should provide for the timely processing of requests for information according to clear rules that are compatible with the Covenant.”</w:t>
      </w:r>
    </w:p>
    <w:p w:rsidR="00A029AF" w:rsidRDefault="00A029AF" w:rsidP="00AA13A8">
      <w:pPr>
        <w:spacing w:after="0" w:line="240" w:lineRule="auto"/>
        <w:rPr>
          <w:rFonts w:cs="Arial"/>
        </w:rPr>
      </w:pPr>
    </w:p>
    <w:p w:rsidR="006C2F66" w:rsidRDefault="008D273A" w:rsidP="00AA13A8">
      <w:pPr>
        <w:spacing w:after="0" w:line="240" w:lineRule="auto"/>
        <w:rPr>
          <w:rFonts w:cs="Arial"/>
        </w:rPr>
      </w:pPr>
      <w:r>
        <w:rPr>
          <w:rFonts w:cs="Arial"/>
        </w:rPr>
        <w:t>6</w:t>
      </w:r>
      <w:r w:rsidR="00A029AF">
        <w:rPr>
          <w:rFonts w:cs="Arial"/>
        </w:rPr>
        <w:t xml:space="preserve">.5 </w:t>
      </w:r>
      <w:r w:rsidR="00346B7D">
        <w:rPr>
          <w:rFonts w:cs="Arial"/>
        </w:rPr>
        <w:t>Under section 29 of the Scotland Act, MSPs are required to pass legislation that is ECHR (and EU) compliant.  Under Section 57 of the Scotland Act, Scottish Government Ministers have a positive duty to comply with the ECHR and human rights obliga</w:t>
      </w:r>
      <w:r w:rsidR="00A029AF">
        <w:rPr>
          <w:rFonts w:cs="Arial"/>
        </w:rPr>
        <w:t xml:space="preserve">tions.  </w:t>
      </w:r>
      <w:r w:rsidR="008301C1">
        <w:rPr>
          <w:rFonts w:cs="Arial"/>
        </w:rPr>
        <w:t>To</w:t>
      </w:r>
      <w:r w:rsidR="00A029AF">
        <w:rPr>
          <w:rFonts w:cs="Arial"/>
        </w:rPr>
        <w:t xml:space="preserve"> fulfill these duties, </w:t>
      </w:r>
      <w:r w:rsidR="00346B7D">
        <w:rPr>
          <w:rFonts w:cs="Arial"/>
        </w:rPr>
        <w:t>Scotland should keep up</w:t>
      </w:r>
      <w:r w:rsidR="00A029AF">
        <w:rPr>
          <w:rFonts w:cs="Arial"/>
        </w:rPr>
        <w:t xml:space="preserve"> to date</w:t>
      </w:r>
      <w:r w:rsidR="00346B7D">
        <w:rPr>
          <w:rFonts w:cs="Arial"/>
        </w:rPr>
        <w:t xml:space="preserve"> with jurisprudence from the ECtHR </w:t>
      </w:r>
      <w:r w:rsidR="00A029AF">
        <w:rPr>
          <w:rFonts w:cs="Arial"/>
        </w:rPr>
        <w:t xml:space="preserve">eg </w:t>
      </w:r>
      <w:r w:rsidR="00346B7D">
        <w:rPr>
          <w:rFonts w:cs="Arial"/>
        </w:rPr>
        <w:t>on access to information rights.</w:t>
      </w:r>
    </w:p>
    <w:p w:rsidR="006C2F66" w:rsidRDefault="006C2F66" w:rsidP="00AA13A8">
      <w:pPr>
        <w:spacing w:after="0" w:line="240" w:lineRule="auto"/>
        <w:rPr>
          <w:rFonts w:cs="Arial"/>
        </w:rPr>
      </w:pPr>
    </w:p>
    <w:p w:rsidR="006C2F66" w:rsidRDefault="008D273A" w:rsidP="00AA13A8">
      <w:pPr>
        <w:spacing w:after="0" w:line="240" w:lineRule="auto"/>
        <w:rPr>
          <w:rStyle w:val="s7d2086b4"/>
        </w:rPr>
      </w:pPr>
      <w:r>
        <w:t>6</w:t>
      </w:r>
      <w:r w:rsidR="00A029AF">
        <w:t xml:space="preserve">.6 </w:t>
      </w:r>
      <w:r w:rsidR="006C2F66" w:rsidRPr="00CE2865">
        <w:t xml:space="preserve">In </w:t>
      </w:r>
      <w:r w:rsidR="006C2F66">
        <w:t>some of its</w:t>
      </w:r>
      <w:r w:rsidR="006C2F66" w:rsidRPr="00CE2865">
        <w:t xml:space="preserve"> judgement</w:t>
      </w:r>
      <w:r w:rsidR="006C2F66">
        <w:t>s</w:t>
      </w:r>
      <w:r w:rsidR="006C2F66" w:rsidRPr="00CE2865">
        <w:rPr>
          <w:rStyle w:val="s7d2086b4"/>
          <w:rFonts w:cs="Arial"/>
          <w:b/>
        </w:rPr>
        <w:t xml:space="preserve">, </w:t>
      </w:r>
      <w:r w:rsidR="006C2F66">
        <w:rPr>
          <w:rStyle w:val="s7d2086b4"/>
          <w:rFonts w:cs="Arial"/>
        </w:rPr>
        <w:t>the European Court of Human Rights (</w:t>
      </w:r>
      <w:r w:rsidR="006C2F66" w:rsidRPr="00CE2865">
        <w:rPr>
          <w:rStyle w:val="s7d2086b4"/>
          <w:rFonts w:cs="Arial"/>
        </w:rPr>
        <w:t>ECtHR</w:t>
      </w:r>
      <w:r w:rsidR="006C2F66">
        <w:rPr>
          <w:rStyle w:val="s7d2086b4"/>
          <w:rFonts w:cs="Arial"/>
        </w:rPr>
        <w:t xml:space="preserve">) linked the ECHR with </w:t>
      </w:r>
      <w:r w:rsidR="005E74E6">
        <w:rPr>
          <w:rStyle w:val="s7d2086b4"/>
          <w:rFonts w:cs="Arial"/>
        </w:rPr>
        <w:t>internationally</w:t>
      </w:r>
      <w:r w:rsidR="006C2F66">
        <w:rPr>
          <w:rStyle w:val="s7d2086b4"/>
          <w:rFonts w:cs="Arial"/>
        </w:rPr>
        <w:t xml:space="preserve"> ratified treaty framework.  For </w:t>
      </w:r>
      <w:r w:rsidR="005E74E6">
        <w:rPr>
          <w:rStyle w:val="s7d2086b4"/>
          <w:rFonts w:cs="Arial"/>
        </w:rPr>
        <w:t>example,</w:t>
      </w:r>
      <w:r w:rsidR="006C2F66">
        <w:rPr>
          <w:rStyle w:val="s7d2086b4"/>
          <w:rFonts w:cs="Arial"/>
        </w:rPr>
        <w:t xml:space="preserve"> in </w:t>
      </w:r>
      <w:r w:rsidR="006C2F66" w:rsidRPr="006C2F66">
        <w:rPr>
          <w:rStyle w:val="s7d2086b4"/>
          <w:rFonts w:cs="Arial"/>
        </w:rPr>
        <w:t>MAGYAR HELSINKI BIZOTTSÁG v. HUNGARY</w:t>
      </w:r>
      <w:r w:rsidR="006C2F66">
        <w:rPr>
          <w:rStyle w:val="s7d2086b4"/>
          <w:rFonts w:cs="Arial"/>
        </w:rPr>
        <w:t xml:space="preserve"> the ECtHR examined int</w:t>
      </w:r>
      <w:r w:rsidR="006C2F66" w:rsidRPr="00CE2865">
        <w:rPr>
          <w:rStyle w:val="s7d2086b4"/>
          <w:rFonts w:cs="Arial"/>
        </w:rPr>
        <w:t xml:space="preserve">ernational </w:t>
      </w:r>
      <w:r w:rsidR="006C2F66">
        <w:rPr>
          <w:rStyle w:val="s7d2086b4"/>
          <w:rFonts w:cs="Arial"/>
        </w:rPr>
        <w:t xml:space="preserve">human </w:t>
      </w:r>
      <w:r w:rsidR="006C2F66" w:rsidRPr="00CE2865">
        <w:rPr>
          <w:rStyle w:val="s7d2086b4"/>
          <w:rFonts w:cs="Arial"/>
        </w:rPr>
        <w:t>rights in some detail</w:t>
      </w:r>
      <w:r w:rsidR="006C2F66">
        <w:rPr>
          <w:rStyle w:val="s7d2086b4"/>
          <w:rFonts w:cs="Arial"/>
        </w:rPr>
        <w:t xml:space="preserve"> including the ICCPR</w:t>
      </w:r>
      <w:r w:rsidR="006C2F66">
        <w:rPr>
          <w:rStyle w:val="FootnoteReference"/>
          <w:rFonts w:cs="Arial"/>
        </w:rPr>
        <w:footnoteReference w:id="20"/>
      </w:r>
      <w:r w:rsidR="006C2F66">
        <w:rPr>
          <w:rStyle w:val="s7d2086b4"/>
          <w:rFonts w:cs="Arial"/>
        </w:rPr>
        <w:t>, when considering how to interpret Article 10 of the ECHR.</w:t>
      </w:r>
      <w:r w:rsidR="006C2F66" w:rsidRPr="00CE2865">
        <w:rPr>
          <w:rStyle w:val="s7d2086b4"/>
          <w:rFonts w:cs="Arial"/>
        </w:rPr>
        <w:t xml:space="preserve">  The inter-relationship of human rights understanding, application and jurisprudence is a useful development in securing continuity.  </w:t>
      </w:r>
    </w:p>
    <w:p w:rsidR="00AA13A8" w:rsidRDefault="00AA13A8" w:rsidP="00AA13A8">
      <w:pPr>
        <w:spacing w:after="0" w:line="240" w:lineRule="auto"/>
        <w:rPr>
          <w:rFonts w:cs="Arial"/>
        </w:rPr>
      </w:pPr>
    </w:p>
    <w:p w:rsidR="006C2F66" w:rsidRDefault="008D273A" w:rsidP="00AA13A8">
      <w:pPr>
        <w:spacing w:after="0" w:line="240" w:lineRule="auto"/>
        <w:rPr>
          <w:bCs/>
        </w:rPr>
      </w:pPr>
      <w:r>
        <w:rPr>
          <w:rFonts w:cs="Arial"/>
        </w:rPr>
        <w:t>6</w:t>
      </w:r>
      <w:r w:rsidR="00A029AF">
        <w:rPr>
          <w:rFonts w:cs="Arial"/>
        </w:rPr>
        <w:t xml:space="preserve">.7 </w:t>
      </w:r>
      <w:r w:rsidR="006C2F66">
        <w:rPr>
          <w:rFonts w:cs="Arial"/>
        </w:rPr>
        <w:t xml:space="preserve">The Human Rights Act 1998 </w:t>
      </w:r>
      <w:r w:rsidR="00A029AF">
        <w:rPr>
          <w:rFonts w:cs="Arial"/>
        </w:rPr>
        <w:t xml:space="preserve">(HRA) </w:t>
      </w:r>
      <w:r w:rsidR="006C2F66">
        <w:rPr>
          <w:rFonts w:cs="Arial"/>
        </w:rPr>
        <w:t xml:space="preserve">requires those delivering public services, and those of a public nature to comply with the ECHR.  </w:t>
      </w:r>
      <w:r w:rsidR="005E74E6">
        <w:rPr>
          <w:rFonts w:cs="Arial"/>
        </w:rPr>
        <w:t>Therefore,</w:t>
      </w:r>
      <w:r w:rsidR="006C2F66">
        <w:rPr>
          <w:rFonts w:cs="Arial"/>
        </w:rPr>
        <w:t xml:space="preserve"> those covered should also examine relevant </w:t>
      </w:r>
      <w:r w:rsidR="005E74E6">
        <w:rPr>
          <w:rFonts w:cs="Arial"/>
        </w:rPr>
        <w:t>jurisprudence</w:t>
      </w:r>
      <w:r w:rsidR="006C2F66">
        <w:rPr>
          <w:rFonts w:cs="Arial"/>
        </w:rPr>
        <w:t xml:space="preserve"> to ensure </w:t>
      </w:r>
      <w:r w:rsidR="005E74E6">
        <w:rPr>
          <w:rFonts w:cs="Arial"/>
        </w:rPr>
        <w:t>their</w:t>
      </w:r>
      <w:r w:rsidR="006C2F66">
        <w:rPr>
          <w:rFonts w:cs="Arial"/>
        </w:rPr>
        <w:t xml:space="preserve"> </w:t>
      </w:r>
      <w:r w:rsidR="005E74E6">
        <w:rPr>
          <w:rFonts w:cs="Arial"/>
        </w:rPr>
        <w:t>actions</w:t>
      </w:r>
      <w:r w:rsidR="006C2F66">
        <w:rPr>
          <w:rFonts w:cs="Arial"/>
        </w:rPr>
        <w:t xml:space="preserve"> are compliant.  </w:t>
      </w:r>
      <w:r w:rsidR="006C2F66" w:rsidRPr="007A0B03">
        <w:rPr>
          <w:rFonts w:cs="Arial"/>
        </w:rPr>
        <w:t xml:space="preserve">In London and Quadrant Trust v Weaver  </w:t>
      </w:r>
      <w:hyperlink r:id="rId11" w:tgtFrame="_blank" w:history="1"/>
      <w:r w:rsidR="006C2F66" w:rsidRPr="007A0B03">
        <w:rPr>
          <w:rFonts w:cs="Arial"/>
        </w:rPr>
        <w:t>Lord Justice Elias set out some factors which should be taken in to account</w:t>
      </w:r>
      <w:r w:rsidR="006C2F66">
        <w:rPr>
          <w:rFonts w:cs="Arial"/>
        </w:rPr>
        <w:t xml:space="preserve"> when determining that a housing association </w:t>
      </w:r>
      <w:r w:rsidR="00A029AF">
        <w:rPr>
          <w:rFonts w:cs="Arial"/>
        </w:rPr>
        <w:t>(</w:t>
      </w:r>
      <w:r w:rsidR="006C2F66">
        <w:rPr>
          <w:rFonts w:cs="Arial"/>
        </w:rPr>
        <w:t>RSL) is covered by the HRA</w:t>
      </w:r>
      <w:r w:rsidR="006C2F66" w:rsidRPr="007A0B03">
        <w:rPr>
          <w:rFonts w:cs="Arial"/>
        </w:rPr>
        <w:t xml:space="preserve"> including</w:t>
      </w:r>
      <w:r w:rsidR="006C2F66" w:rsidRPr="007A0B03">
        <w:rPr>
          <w:rFonts w:cs="Arial"/>
          <w:i/>
        </w:rPr>
        <w:t> </w:t>
      </w:r>
      <w:r w:rsidR="006C2F66" w:rsidRPr="007A0B03">
        <w:rPr>
          <w:rStyle w:val="Emphasis"/>
          <w:rFonts w:cs="Arial"/>
        </w:rPr>
        <w:t xml:space="preserve">”the extent to which in carrying out the relevant function the body is publicly funded, or is exercising statutory powers, or is taking the place of central government or local authorities, or is providing a public service”.   </w:t>
      </w:r>
      <w:r w:rsidR="006C2F66" w:rsidRPr="007A0B03">
        <w:rPr>
          <w:rFonts w:cs="Arial"/>
        </w:rPr>
        <w:t>Due to their cumulative functions</w:t>
      </w:r>
      <w:r w:rsidR="006C2F66">
        <w:rPr>
          <w:rFonts w:cs="Arial"/>
        </w:rPr>
        <w:t xml:space="preserve"> in respect of the London and Quadrant Trust,</w:t>
      </w:r>
      <w:r w:rsidR="006C2F66" w:rsidRPr="007A0B03">
        <w:rPr>
          <w:rFonts w:cs="Arial"/>
        </w:rPr>
        <w:t xml:space="preserve"> he concluded </w:t>
      </w:r>
      <w:r w:rsidR="006C2F66" w:rsidRPr="007A0B03">
        <w:rPr>
          <w:bCs/>
        </w:rPr>
        <w:t>housing associations are public bodies under the Human Rights Act</w:t>
      </w:r>
      <w:r w:rsidR="006C2F66">
        <w:rPr>
          <w:bCs/>
        </w:rPr>
        <w:t xml:space="preserve">.  </w:t>
      </w:r>
    </w:p>
    <w:p w:rsidR="00AA13A8" w:rsidRPr="00346B7D" w:rsidRDefault="00AA13A8" w:rsidP="00AA13A8">
      <w:pPr>
        <w:spacing w:after="0" w:line="240" w:lineRule="auto"/>
      </w:pPr>
    </w:p>
    <w:p w:rsidR="006C2F66" w:rsidRDefault="008D273A" w:rsidP="00AA13A8">
      <w:pPr>
        <w:autoSpaceDE w:val="0"/>
        <w:autoSpaceDN w:val="0"/>
        <w:adjustRightInd w:val="0"/>
        <w:spacing w:after="0" w:line="240" w:lineRule="auto"/>
        <w:rPr>
          <w:rFonts w:cs="Arial"/>
        </w:rPr>
      </w:pPr>
      <w:r>
        <w:rPr>
          <w:rFonts w:cs="Arial"/>
        </w:rPr>
        <w:t>6</w:t>
      </w:r>
      <w:r w:rsidR="00A029AF">
        <w:rPr>
          <w:rFonts w:cs="Arial"/>
        </w:rPr>
        <w:t xml:space="preserve">.8 </w:t>
      </w:r>
      <w:r w:rsidR="006C2F66" w:rsidRPr="007A0B03">
        <w:rPr>
          <w:rFonts w:cs="Arial"/>
        </w:rPr>
        <w:t>There is now a growing awareness about the human rights obligations of housing associations and registered social landlords (RSLs) eg ‘Guidance for Social Housing Providers’ published by the EHRC.</w:t>
      </w:r>
      <w:r w:rsidR="006C2F66" w:rsidRPr="007A0B03">
        <w:rPr>
          <w:rStyle w:val="FootnoteReference"/>
          <w:rFonts w:cs="Arial"/>
        </w:rPr>
        <w:footnoteReference w:id="21"/>
      </w:r>
    </w:p>
    <w:p w:rsidR="00AA13A8" w:rsidRDefault="00AA13A8" w:rsidP="00AA13A8">
      <w:pPr>
        <w:autoSpaceDE w:val="0"/>
        <w:autoSpaceDN w:val="0"/>
        <w:adjustRightInd w:val="0"/>
        <w:spacing w:after="0" w:line="240" w:lineRule="auto"/>
        <w:rPr>
          <w:rFonts w:cs="Arial"/>
        </w:rPr>
      </w:pPr>
    </w:p>
    <w:p w:rsidR="006C2F66" w:rsidRDefault="008D273A" w:rsidP="00AA13A8">
      <w:pPr>
        <w:pStyle w:val="ListParagraph"/>
        <w:spacing w:after="0" w:line="240" w:lineRule="auto"/>
        <w:ind w:left="0"/>
        <w:rPr>
          <w:rFonts w:cs="Arial"/>
          <w:bCs/>
          <w:spacing w:val="2"/>
          <w:lang w:val="en-US"/>
        </w:rPr>
      </w:pPr>
      <w:r>
        <w:rPr>
          <w:rFonts w:cs="Arial"/>
          <w:bCs/>
          <w:spacing w:val="2"/>
          <w:lang w:val="en-US"/>
        </w:rPr>
        <w:t>6</w:t>
      </w:r>
      <w:r w:rsidR="00A029AF">
        <w:rPr>
          <w:rFonts w:cs="Arial"/>
          <w:bCs/>
          <w:spacing w:val="2"/>
          <w:lang w:val="en-US"/>
        </w:rPr>
        <w:t xml:space="preserve">.9 </w:t>
      </w:r>
      <w:r w:rsidR="006C2F66">
        <w:rPr>
          <w:rFonts w:cs="Arial"/>
          <w:bCs/>
          <w:spacing w:val="2"/>
          <w:lang w:val="en-US"/>
        </w:rPr>
        <w:t xml:space="preserve">In </w:t>
      </w:r>
      <w:r w:rsidR="006C2F66" w:rsidRPr="006C2F66">
        <w:rPr>
          <w:rStyle w:val="s7d2086b4"/>
          <w:rFonts w:cs="Arial"/>
        </w:rPr>
        <w:t>MAGYAR HELSINKI BIZOTTSÁG v. HUNGARY</w:t>
      </w:r>
      <w:r w:rsidR="006C2F66">
        <w:rPr>
          <w:rFonts w:cs="Arial"/>
          <w:bCs/>
          <w:spacing w:val="2"/>
          <w:lang w:val="en-US"/>
        </w:rPr>
        <w:t xml:space="preserve">, </w:t>
      </w:r>
      <w:r w:rsidR="006C2F66" w:rsidRPr="00CE2865">
        <w:rPr>
          <w:rFonts w:cs="Arial"/>
          <w:bCs/>
          <w:spacing w:val="2"/>
          <w:lang w:val="en-US"/>
        </w:rPr>
        <w:t>The Grand Chamber of the European Court of Human Rights ruled</w:t>
      </w:r>
      <w:r w:rsidR="006C2F66">
        <w:rPr>
          <w:rFonts w:cs="Arial"/>
          <w:bCs/>
          <w:spacing w:val="2"/>
          <w:lang w:val="en-US"/>
        </w:rPr>
        <w:t>,</w:t>
      </w:r>
      <w:r w:rsidR="006C2F66" w:rsidRPr="00CE2865">
        <w:rPr>
          <w:rFonts w:cs="Arial"/>
          <w:bCs/>
          <w:spacing w:val="2"/>
          <w:lang w:val="en-US"/>
        </w:rPr>
        <w:t xml:space="preserve"> in its judgment delivered on 8th November 2016</w:t>
      </w:r>
      <w:r w:rsidR="006C2F66">
        <w:rPr>
          <w:rFonts w:cs="Arial"/>
          <w:bCs/>
          <w:spacing w:val="2"/>
          <w:lang w:val="en-US"/>
        </w:rPr>
        <w:t>,</w:t>
      </w:r>
      <w:r w:rsidR="006C2F66" w:rsidRPr="00CE2865">
        <w:rPr>
          <w:rFonts w:cs="Arial"/>
          <w:bCs/>
          <w:spacing w:val="2"/>
          <w:lang w:val="en-US"/>
        </w:rPr>
        <w:t xml:space="preserve"> that Hungary violated the Hungarian Helsinki Committee’s right to freedom of expression</w:t>
      </w:r>
      <w:r w:rsidR="006C2F66">
        <w:rPr>
          <w:rFonts w:cs="Arial"/>
          <w:bCs/>
          <w:spacing w:val="2"/>
          <w:lang w:val="en-US"/>
        </w:rPr>
        <w:t>, under Article 10,</w:t>
      </w:r>
      <w:r w:rsidR="006C2F66" w:rsidRPr="00CE2865">
        <w:rPr>
          <w:rFonts w:cs="Arial"/>
          <w:bCs/>
          <w:spacing w:val="2"/>
          <w:lang w:val="en-US"/>
        </w:rPr>
        <w:t xml:space="preserve"> when the police refused to disclose the names of ex officio defence counsels and the number of cases in which they were appointed in a given year.</w:t>
      </w:r>
      <w:r w:rsidR="006C2F66">
        <w:rPr>
          <w:rFonts w:cs="Arial"/>
          <w:bCs/>
          <w:spacing w:val="2"/>
          <w:lang w:val="en-US"/>
        </w:rPr>
        <w:t xml:space="preserve">  Article 10</w:t>
      </w:r>
      <w:r w:rsidR="00AA13A8">
        <w:rPr>
          <w:rFonts w:cs="Arial"/>
          <w:bCs/>
          <w:spacing w:val="2"/>
          <w:lang w:val="en-US"/>
        </w:rPr>
        <w:t>(1)</w:t>
      </w:r>
      <w:r w:rsidR="006C2F66">
        <w:rPr>
          <w:rFonts w:cs="Arial"/>
          <w:bCs/>
          <w:spacing w:val="2"/>
          <w:lang w:val="en-US"/>
        </w:rPr>
        <w:t xml:space="preserve"> of the ECHR states:</w:t>
      </w:r>
    </w:p>
    <w:p w:rsidR="006C2F66" w:rsidRPr="00302516" w:rsidRDefault="006C2F66" w:rsidP="00AA13A8">
      <w:pPr>
        <w:shd w:val="clear" w:color="auto" w:fill="FFFFFF"/>
        <w:spacing w:before="100" w:beforeAutospacing="1" w:after="100" w:afterAutospacing="1" w:line="240" w:lineRule="auto"/>
        <w:ind w:left="720"/>
        <w:rPr>
          <w:rFonts w:cs="Arial"/>
          <w:bCs/>
          <w:spacing w:val="2"/>
          <w:lang w:val="en-US"/>
        </w:rPr>
      </w:pPr>
      <w:r w:rsidRPr="00302516">
        <w:rPr>
          <w:rFonts w:cs="Arial"/>
        </w:rPr>
        <w:lastRenderedPageBreak/>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CE2865">
        <w:rPr>
          <w:rStyle w:val="FootnoteReference"/>
          <w:rFonts w:cs="Arial"/>
        </w:rPr>
        <w:footnoteReference w:id="22"/>
      </w:r>
      <w:r w:rsidRPr="00302516">
        <w:rPr>
          <w:rFonts w:cs="Arial"/>
        </w:rPr>
        <w:t xml:space="preserve">  </w:t>
      </w:r>
    </w:p>
    <w:p w:rsidR="00A029AF" w:rsidRDefault="008D273A" w:rsidP="00A029AF">
      <w:pPr>
        <w:spacing w:after="0" w:line="240" w:lineRule="auto"/>
        <w:rPr>
          <w:rFonts w:cs="Arial"/>
          <w:lang w:val="en-US"/>
        </w:rPr>
      </w:pPr>
      <w:r>
        <w:rPr>
          <w:rFonts w:cs="Arial"/>
          <w:szCs w:val="24"/>
          <w:lang w:val="en-US"/>
        </w:rPr>
        <w:t>6</w:t>
      </w:r>
      <w:r w:rsidR="00A029AF">
        <w:rPr>
          <w:rFonts w:cs="Arial"/>
          <w:szCs w:val="24"/>
          <w:lang w:val="en-US"/>
        </w:rPr>
        <w:t xml:space="preserve">.10 </w:t>
      </w:r>
      <w:r w:rsidR="00B33214" w:rsidRPr="00767BC6">
        <w:rPr>
          <w:rFonts w:cs="Arial"/>
          <w:szCs w:val="24"/>
          <w:lang w:val="en-US"/>
        </w:rPr>
        <w:t>The ECtHR has therefore ruled that there is a right to information from public authorities under Article 10 of the E</w:t>
      </w:r>
      <w:r w:rsidR="00A029AF">
        <w:rPr>
          <w:rFonts w:cs="Arial"/>
          <w:szCs w:val="24"/>
          <w:lang w:val="en-US"/>
        </w:rPr>
        <w:t>CHR</w:t>
      </w:r>
      <w:r w:rsidR="00B33214" w:rsidRPr="00767BC6">
        <w:rPr>
          <w:rFonts w:cs="Arial"/>
          <w:szCs w:val="24"/>
          <w:lang w:val="en-US"/>
        </w:rPr>
        <w:t xml:space="preserve">. Significantly however it has ruled that the right does not apply to </w:t>
      </w:r>
      <w:r w:rsidR="00B33214" w:rsidRPr="00767BC6">
        <w:rPr>
          <w:rStyle w:val="Emphasis"/>
          <w:rFonts w:cs="Arial"/>
          <w:szCs w:val="24"/>
          <w:lang w:val="en-US"/>
        </w:rPr>
        <w:t>all</w:t>
      </w:r>
      <w:r w:rsidR="00B33214">
        <w:rPr>
          <w:rFonts w:cs="Arial"/>
          <w:szCs w:val="24"/>
          <w:lang w:val="en-US"/>
        </w:rPr>
        <w:t xml:space="preserve"> requestors </w:t>
      </w:r>
      <w:r w:rsidR="00B33214">
        <w:rPr>
          <w:rFonts w:cs="Arial"/>
          <w:lang w:val="en-US"/>
        </w:rPr>
        <w:t>‘</w:t>
      </w:r>
      <w:r w:rsidR="00B33214" w:rsidRPr="00B33214">
        <w:rPr>
          <w:rFonts w:cs="Arial"/>
          <w:lang w:val="en-US"/>
        </w:rPr>
        <w:t>only those where access ‘is instrumental for the individual’s exercise of his or her right to freedom of expression.’ This may apply where the requester’s purpose is to contribute to public debate on a matter of public interest. The requester would also have to fulfill a ‘public watchdog’ role, which the Grand Chamber said might apply not only to the press and NGOs but also to authors, academics, bloggers and ‘popular users of social media’.</w:t>
      </w:r>
      <w:r w:rsidR="00A029AF">
        <w:rPr>
          <w:rFonts w:cs="Arial"/>
          <w:lang w:val="en-US"/>
        </w:rPr>
        <w:t xml:space="preserve">   </w:t>
      </w:r>
    </w:p>
    <w:p w:rsidR="00A029AF" w:rsidRDefault="00A029AF" w:rsidP="00A029AF">
      <w:pPr>
        <w:spacing w:after="0" w:line="240" w:lineRule="auto"/>
        <w:rPr>
          <w:rFonts w:cs="Arial"/>
          <w:lang w:val="en-US"/>
        </w:rPr>
      </w:pPr>
    </w:p>
    <w:p w:rsidR="00B33214" w:rsidRPr="00A029AF" w:rsidRDefault="008D273A" w:rsidP="00A029AF">
      <w:pPr>
        <w:spacing w:after="0" w:line="240" w:lineRule="auto"/>
        <w:rPr>
          <w:rFonts w:cs="Arial"/>
          <w:szCs w:val="24"/>
          <w:lang w:val="en-US"/>
        </w:rPr>
      </w:pPr>
      <w:r>
        <w:rPr>
          <w:rFonts w:cs="Arial"/>
          <w:lang w:val="en-US"/>
        </w:rPr>
        <w:t>6</w:t>
      </w:r>
      <w:r w:rsidR="00A029AF">
        <w:rPr>
          <w:rFonts w:cs="Arial"/>
          <w:lang w:val="en-US"/>
        </w:rPr>
        <w:t xml:space="preserve">.11 </w:t>
      </w:r>
      <w:r w:rsidR="00B33214">
        <w:rPr>
          <w:rFonts w:cs="Arial"/>
          <w:lang w:val="en-US"/>
        </w:rPr>
        <w:t xml:space="preserve">There has been deserved criticism of this partial ruling which appears to contradict the fundamental premise of the ECHR that rights </w:t>
      </w:r>
      <w:r w:rsidR="005E74E6">
        <w:rPr>
          <w:rFonts w:cs="Arial"/>
          <w:lang w:val="en-US"/>
        </w:rPr>
        <w:t>must</w:t>
      </w:r>
      <w:r w:rsidR="00B33214">
        <w:rPr>
          <w:rFonts w:cs="Arial"/>
          <w:lang w:val="en-US"/>
        </w:rPr>
        <w:t xml:space="preserve"> be enjoyed equally under Article 14</w:t>
      </w:r>
      <w:r w:rsidR="00744FAA">
        <w:rPr>
          <w:rFonts w:cs="Arial"/>
          <w:lang w:val="en-US"/>
        </w:rPr>
        <w:t>:</w:t>
      </w:r>
    </w:p>
    <w:p w:rsidR="00744FAA" w:rsidRDefault="00744FAA" w:rsidP="00AA13A8">
      <w:pPr>
        <w:pStyle w:val="NormalWeb"/>
        <w:shd w:val="clear" w:color="auto" w:fill="FFFFFF"/>
        <w:spacing w:after="0" w:line="240" w:lineRule="auto"/>
        <w:rPr>
          <w:rFonts w:ascii="Arial" w:hAnsi="Arial" w:cs="Arial"/>
          <w:lang w:val="en-US"/>
        </w:rPr>
      </w:pPr>
    </w:p>
    <w:p w:rsidR="00B33214" w:rsidRDefault="00744FAA" w:rsidP="00AA13A8">
      <w:pPr>
        <w:pStyle w:val="NormalWeb"/>
        <w:shd w:val="clear" w:color="auto" w:fill="FFFFFF"/>
        <w:spacing w:after="0" w:line="240" w:lineRule="auto"/>
        <w:rPr>
          <w:rFonts w:ascii="Arial" w:hAnsi="Arial" w:cs="Arial"/>
          <w:color w:val="000000"/>
        </w:rPr>
      </w:pPr>
      <w:r>
        <w:rPr>
          <w:rFonts w:ascii="Arial" w:hAnsi="Arial" w:cs="Arial"/>
          <w:color w:val="000000"/>
        </w:rPr>
        <w:t>“</w:t>
      </w:r>
      <w:r w:rsidR="00B33214" w:rsidRPr="00744FAA">
        <w:rPr>
          <w:rFonts w:ascii="Arial" w:hAnsi="Arial" w:cs="Arial"/>
          <w:color w:val="000000"/>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Pr="00744FAA">
        <w:rPr>
          <w:rStyle w:val="FootnoteReference"/>
          <w:rFonts w:ascii="Arial" w:hAnsi="Arial" w:cs="Arial"/>
          <w:lang w:val="en-US"/>
        </w:rPr>
        <w:t xml:space="preserve"> </w:t>
      </w:r>
      <w:r>
        <w:rPr>
          <w:rStyle w:val="FootnoteReference"/>
          <w:rFonts w:ascii="Arial" w:hAnsi="Arial" w:cs="Arial"/>
          <w:lang w:val="en-US"/>
        </w:rPr>
        <w:footnoteReference w:id="23"/>
      </w:r>
      <w:r>
        <w:rPr>
          <w:rFonts w:ascii="Arial" w:hAnsi="Arial" w:cs="Arial"/>
          <w:lang w:val="en-US"/>
        </w:rPr>
        <w:t>:</w:t>
      </w:r>
    </w:p>
    <w:p w:rsidR="00744FAA" w:rsidRPr="00744FAA" w:rsidRDefault="00744FAA" w:rsidP="00AA13A8">
      <w:pPr>
        <w:pStyle w:val="NormalWeb"/>
        <w:shd w:val="clear" w:color="auto" w:fill="FFFFFF"/>
        <w:spacing w:after="0" w:line="240" w:lineRule="auto"/>
        <w:rPr>
          <w:rFonts w:ascii="Arial" w:hAnsi="Arial" w:cs="Arial"/>
          <w:lang w:val="en-US"/>
        </w:rPr>
      </w:pPr>
    </w:p>
    <w:p w:rsidR="00B33214" w:rsidRPr="00112465" w:rsidRDefault="008D273A" w:rsidP="00AA13A8">
      <w:pPr>
        <w:pStyle w:val="NormalWeb"/>
        <w:shd w:val="clear" w:color="auto" w:fill="FFFFFF"/>
        <w:spacing w:after="0" w:line="240" w:lineRule="auto"/>
        <w:rPr>
          <w:rStyle w:val="s7d2086b4"/>
        </w:rPr>
      </w:pPr>
      <w:r>
        <w:rPr>
          <w:rStyle w:val="s7d2086b4"/>
          <w:rFonts w:ascii="Arial" w:hAnsi="Arial" w:cs="Arial"/>
        </w:rPr>
        <w:t>6</w:t>
      </w:r>
      <w:r w:rsidR="00A029AF">
        <w:rPr>
          <w:rStyle w:val="s7d2086b4"/>
          <w:rFonts w:ascii="Arial" w:hAnsi="Arial" w:cs="Arial"/>
        </w:rPr>
        <w:t xml:space="preserve">.12 </w:t>
      </w:r>
      <w:r w:rsidR="00B33214">
        <w:rPr>
          <w:rStyle w:val="s7d2086b4"/>
          <w:rFonts w:ascii="Arial" w:hAnsi="Arial" w:cs="Arial"/>
        </w:rPr>
        <w:t>Furthermore Article</w:t>
      </w:r>
      <w:r w:rsidR="00B33214" w:rsidRPr="00B84EA8">
        <w:rPr>
          <w:rStyle w:val="s7d2086b4"/>
          <w:rFonts w:ascii="Arial" w:hAnsi="Arial" w:cs="Arial"/>
        </w:rPr>
        <w:t xml:space="preserve"> 34 of the ECHR</w:t>
      </w:r>
      <w:r w:rsidR="00B33214">
        <w:rPr>
          <w:rStyle w:val="s7d2086b4"/>
          <w:rFonts w:ascii="Arial" w:hAnsi="Arial" w:cs="Arial"/>
        </w:rPr>
        <w:t xml:space="preserve"> permits cases to be brought by NGOs, </w:t>
      </w:r>
      <w:r w:rsidR="00B33214" w:rsidRPr="00112465">
        <w:rPr>
          <w:rStyle w:val="s7d2086b4"/>
          <w:rFonts w:ascii="Arial" w:hAnsi="Arial" w:cs="Arial"/>
        </w:rPr>
        <w:t>groups and by individuals, but does not indicate any hierarchy of rights:</w:t>
      </w:r>
    </w:p>
    <w:p w:rsidR="00B33214" w:rsidRPr="00112465" w:rsidRDefault="00B33214" w:rsidP="00AA13A8">
      <w:pPr>
        <w:pStyle w:val="NormalWeb"/>
        <w:shd w:val="clear" w:color="auto" w:fill="FFFFFF"/>
        <w:spacing w:after="0" w:line="240" w:lineRule="auto"/>
        <w:rPr>
          <w:rStyle w:val="s7d2086b4"/>
        </w:rPr>
      </w:pPr>
      <w:r w:rsidRPr="00112465">
        <w:rPr>
          <w:rStyle w:val="s7d2086b4"/>
          <w:rFonts w:ascii="Arial" w:hAnsi="Arial" w:cs="Arial"/>
        </w:rPr>
        <w:t>“</w:t>
      </w:r>
      <w:r w:rsidRPr="00112465">
        <w:rPr>
          <w:rFonts w:ascii="Arial" w:hAnsi="Arial" w:cs="Arial"/>
          <w:color w:val="000000"/>
        </w:rPr>
        <w:t>The Court may receive applications from any person, nongovernmental organisation or group of individuals claiming to be the victim of a violation by one of the High Contracting Parties of the rights set forth in the Convention or the Protocols thereto. The High Contracting Parties undertake not to hinder in any way the effective exercise of this right.”</w:t>
      </w:r>
    </w:p>
    <w:p w:rsidR="00A029AF" w:rsidRDefault="00A029AF" w:rsidP="00AA13A8">
      <w:pPr>
        <w:pStyle w:val="NormalWeb"/>
        <w:shd w:val="clear" w:color="auto" w:fill="FFFFFF"/>
        <w:spacing w:after="0" w:line="240" w:lineRule="auto"/>
        <w:rPr>
          <w:rFonts w:ascii="Arial" w:hAnsi="Arial" w:cs="Arial"/>
          <w:lang w:val="en-US"/>
        </w:rPr>
      </w:pPr>
    </w:p>
    <w:p w:rsidR="00B33214" w:rsidRPr="00767BC6" w:rsidRDefault="008D273A" w:rsidP="00AA13A8">
      <w:pPr>
        <w:pStyle w:val="NormalWeb"/>
        <w:shd w:val="clear" w:color="auto" w:fill="FFFFFF"/>
        <w:spacing w:after="0" w:line="240" w:lineRule="auto"/>
        <w:rPr>
          <w:rFonts w:ascii="Arial" w:hAnsi="Arial" w:cs="Arial"/>
          <w:lang w:val="en-US"/>
        </w:rPr>
      </w:pPr>
      <w:r>
        <w:rPr>
          <w:rFonts w:ascii="Arial" w:hAnsi="Arial" w:cs="Arial"/>
          <w:lang w:val="en-US"/>
        </w:rPr>
        <w:t>6</w:t>
      </w:r>
      <w:r w:rsidR="00A029AF">
        <w:rPr>
          <w:rFonts w:ascii="Arial" w:hAnsi="Arial" w:cs="Arial"/>
          <w:lang w:val="en-US"/>
        </w:rPr>
        <w:t xml:space="preserve">.13 </w:t>
      </w:r>
      <w:r w:rsidR="00B33214" w:rsidRPr="00767BC6">
        <w:rPr>
          <w:rFonts w:ascii="Arial" w:hAnsi="Arial" w:cs="Arial"/>
          <w:lang w:val="en-US"/>
        </w:rPr>
        <w:t xml:space="preserve">The decision potentially means that public bodies which are not subject to the </w:t>
      </w:r>
      <w:r w:rsidR="00B33214">
        <w:rPr>
          <w:rFonts w:ascii="Arial" w:hAnsi="Arial" w:cs="Arial"/>
          <w:lang w:val="en-US"/>
        </w:rPr>
        <w:t>UK FOI Act</w:t>
      </w:r>
      <w:r w:rsidR="00B33214" w:rsidRPr="00767BC6">
        <w:rPr>
          <w:rFonts w:ascii="Arial" w:hAnsi="Arial" w:cs="Arial"/>
          <w:lang w:val="en-US"/>
        </w:rPr>
        <w:t xml:space="preserve"> </w:t>
      </w:r>
      <w:r w:rsidR="00B33214">
        <w:rPr>
          <w:rFonts w:ascii="Arial" w:hAnsi="Arial" w:cs="Arial"/>
          <w:lang w:val="en-US"/>
        </w:rPr>
        <w:t>or FoISA such as RSLs</w:t>
      </w:r>
      <w:r w:rsidR="00A029AF">
        <w:rPr>
          <w:rFonts w:ascii="Arial" w:hAnsi="Arial" w:cs="Arial"/>
          <w:lang w:val="en-US"/>
        </w:rPr>
        <w:t xml:space="preserve"> and their subsidiaries,</w:t>
      </w:r>
      <w:r w:rsidR="00B33214">
        <w:rPr>
          <w:rFonts w:ascii="Arial" w:hAnsi="Arial" w:cs="Arial"/>
          <w:lang w:val="en-US"/>
        </w:rPr>
        <w:t xml:space="preserve"> </w:t>
      </w:r>
      <w:r w:rsidR="00B33214" w:rsidRPr="00767BC6">
        <w:rPr>
          <w:rFonts w:ascii="Arial" w:hAnsi="Arial" w:cs="Arial"/>
          <w:lang w:val="en-US"/>
        </w:rPr>
        <w:t>will be subject to a new disclosure obligation where information is sought for public benefit</w:t>
      </w:r>
      <w:r w:rsidR="00B33214">
        <w:rPr>
          <w:rFonts w:ascii="Arial" w:hAnsi="Arial" w:cs="Arial"/>
          <w:lang w:val="en-US"/>
        </w:rPr>
        <w:t xml:space="preserve"> eg by a poverty NGO, tenant </w:t>
      </w:r>
      <w:r w:rsidR="005E74E6">
        <w:rPr>
          <w:rFonts w:ascii="Arial" w:hAnsi="Arial" w:cs="Arial"/>
          <w:lang w:val="en-US"/>
        </w:rPr>
        <w:t>organisation</w:t>
      </w:r>
      <w:r w:rsidR="00B33214">
        <w:rPr>
          <w:rFonts w:ascii="Arial" w:hAnsi="Arial" w:cs="Arial"/>
          <w:lang w:val="en-US"/>
        </w:rPr>
        <w:t xml:space="preserve"> or investigative </w:t>
      </w:r>
      <w:r w:rsidR="005E74E6">
        <w:rPr>
          <w:rFonts w:ascii="Arial" w:hAnsi="Arial" w:cs="Arial"/>
          <w:lang w:val="en-US"/>
        </w:rPr>
        <w:t>journalist</w:t>
      </w:r>
      <w:r w:rsidR="00B33214" w:rsidRPr="00767BC6">
        <w:rPr>
          <w:rFonts w:ascii="Arial" w:hAnsi="Arial" w:cs="Arial"/>
          <w:lang w:val="en-US"/>
        </w:rPr>
        <w:t xml:space="preserve">. They could refuse only on the grounds provided by Article 10 itself, for example to protect national security, law enforcement, confidential information or the rights of others. Any restriction on access must be necessary and proportionate – a form of public interest test. </w:t>
      </w:r>
    </w:p>
    <w:p w:rsidR="00FF347F" w:rsidRDefault="00FF347F" w:rsidP="00AA13A8">
      <w:pPr>
        <w:spacing w:after="0" w:line="240" w:lineRule="auto"/>
        <w:rPr>
          <w:rFonts w:cs="Arial"/>
          <w:szCs w:val="24"/>
          <w:lang w:val="en-US"/>
        </w:rPr>
      </w:pPr>
    </w:p>
    <w:p w:rsidR="00A029AF" w:rsidRDefault="008D273A" w:rsidP="00AA13A8">
      <w:pPr>
        <w:spacing w:after="0" w:line="240" w:lineRule="auto"/>
        <w:rPr>
          <w:rStyle w:val="s7d2086b4"/>
        </w:rPr>
      </w:pPr>
      <w:r>
        <w:rPr>
          <w:rStyle w:val="s7d2086b4"/>
          <w:rFonts w:cs="Arial"/>
        </w:rPr>
        <w:t>6</w:t>
      </w:r>
      <w:r w:rsidR="00A029AF">
        <w:rPr>
          <w:rStyle w:val="s7d2086b4"/>
          <w:rFonts w:cs="Arial"/>
        </w:rPr>
        <w:t xml:space="preserve">.14 </w:t>
      </w:r>
      <w:r w:rsidR="00FF347F" w:rsidRPr="00054CC5">
        <w:rPr>
          <w:rStyle w:val="s7d2086b4"/>
          <w:rFonts w:cs="Arial"/>
        </w:rPr>
        <w:t>The UK government proposes to abolish the Human Rights Act and replace with a British Bill of Rights.  This has been repeatedly opposed by the Scottish Government and the Scottish Parliament which instead assert that they will promote human rights as well as campaign to save the HRA.  The First Minister has specifically touted the idea of giving domestic effect to international treaties</w:t>
      </w:r>
      <w:r w:rsidR="00FF347F">
        <w:rPr>
          <w:rStyle w:val="s7d2086b4"/>
          <w:rFonts w:cs="Arial"/>
        </w:rPr>
        <w:t xml:space="preserve"> eg ICCPR</w:t>
      </w:r>
      <w:r w:rsidR="00FF347F" w:rsidRPr="00054CC5">
        <w:rPr>
          <w:rStyle w:val="s7d2086b4"/>
          <w:rFonts w:cs="Arial"/>
        </w:rPr>
        <w:t xml:space="preserve">: </w:t>
      </w:r>
    </w:p>
    <w:p w:rsidR="00A029AF" w:rsidRDefault="00A029AF" w:rsidP="00AA13A8">
      <w:pPr>
        <w:spacing w:after="0" w:line="240" w:lineRule="auto"/>
        <w:rPr>
          <w:rStyle w:val="s7d2086b4"/>
        </w:rPr>
      </w:pPr>
    </w:p>
    <w:p w:rsidR="00FF347F" w:rsidRDefault="00FF347F" w:rsidP="00AA13A8">
      <w:pPr>
        <w:spacing w:after="0" w:line="240" w:lineRule="auto"/>
        <w:rPr>
          <w:rStyle w:val="s7d2086b4"/>
        </w:rPr>
      </w:pPr>
      <w:r w:rsidRPr="00054CC5">
        <w:rPr>
          <w:rStyle w:val="s7d2086b4"/>
          <w:rFonts w:cs="Arial"/>
        </w:rPr>
        <w:t>‘</w:t>
      </w:r>
      <w:r w:rsidRPr="00054CC5">
        <w:rPr>
          <w:rFonts w:cs="Arial"/>
        </w:rPr>
        <w:t>Human rights are therefore central to our concept of inclusive growth – the concept we have put at the heart of our strategy of building a stronger</w:t>
      </w:r>
      <w:r>
        <w:rPr>
          <w:rFonts w:cs="Arial"/>
        </w:rPr>
        <w:t xml:space="preserve"> economy and a fairer society… </w:t>
      </w:r>
      <w:r w:rsidRPr="00054CC5">
        <w:rPr>
          <w:rFonts w:cs="Arial"/>
        </w:rPr>
        <w:t>Scottish Government “is looking at how we incorporate some of the other treaties and ri</w:t>
      </w:r>
      <w:r>
        <w:rPr>
          <w:rFonts w:cs="Arial"/>
        </w:rPr>
        <w:t>ghts into our domestic law’.</w:t>
      </w:r>
      <w:r>
        <w:rPr>
          <w:rStyle w:val="FootnoteReference"/>
          <w:rFonts w:cs="Arial"/>
        </w:rPr>
        <w:footnoteReference w:id="24"/>
      </w:r>
      <w:r>
        <w:rPr>
          <w:rStyle w:val="s7d2086b4"/>
          <w:rFonts w:cs="Arial"/>
        </w:rPr>
        <w:t xml:space="preserve">  </w:t>
      </w:r>
    </w:p>
    <w:p w:rsidR="00FF347F" w:rsidRDefault="00FF347F" w:rsidP="00AA13A8">
      <w:pPr>
        <w:pStyle w:val="ListParagraph"/>
        <w:spacing w:after="0" w:line="240" w:lineRule="auto"/>
        <w:ind w:left="0"/>
        <w:rPr>
          <w:rStyle w:val="s7d2086b4"/>
        </w:rPr>
      </w:pPr>
    </w:p>
    <w:p w:rsidR="00FF347F" w:rsidRDefault="008D273A" w:rsidP="00AA13A8">
      <w:pPr>
        <w:pStyle w:val="ListParagraph"/>
        <w:spacing w:after="0" w:line="240" w:lineRule="auto"/>
        <w:ind w:left="0"/>
        <w:rPr>
          <w:rFonts w:cs="Arial"/>
        </w:rPr>
      </w:pPr>
      <w:r>
        <w:rPr>
          <w:rStyle w:val="s7d2086b4"/>
          <w:rFonts w:cs="Arial"/>
        </w:rPr>
        <w:t>6</w:t>
      </w:r>
      <w:r w:rsidR="00A029AF">
        <w:rPr>
          <w:rStyle w:val="s7d2086b4"/>
          <w:rFonts w:cs="Arial"/>
        </w:rPr>
        <w:t xml:space="preserve">.15 </w:t>
      </w:r>
      <w:r w:rsidR="00FF347F">
        <w:rPr>
          <w:rStyle w:val="s7d2086b4"/>
          <w:rFonts w:cs="Arial"/>
        </w:rPr>
        <w:t>It is worth noting that the Scottish Parliament has elevated scrutiny of human rights by establishing an Equalit</w:t>
      </w:r>
      <w:r w:rsidR="00A029AF">
        <w:rPr>
          <w:rStyle w:val="s7d2086b4"/>
          <w:rFonts w:cs="Arial"/>
        </w:rPr>
        <w:t>ies</w:t>
      </w:r>
      <w:r w:rsidR="00FF347F">
        <w:rPr>
          <w:rStyle w:val="s7d2086b4"/>
          <w:rFonts w:cs="Arial"/>
        </w:rPr>
        <w:t xml:space="preserve"> and Human Rights Committee</w:t>
      </w:r>
      <w:r w:rsidR="00FF347F">
        <w:rPr>
          <w:rStyle w:val="FootnoteReference"/>
          <w:rFonts w:cs="Arial"/>
        </w:rPr>
        <w:footnoteReference w:id="25"/>
      </w:r>
      <w:r w:rsidR="00FF347F">
        <w:rPr>
          <w:rStyle w:val="s7d2086b4"/>
          <w:rFonts w:cs="Arial"/>
        </w:rPr>
        <w:t xml:space="preserve"> and this is already serving as a focus for campaigners calling for compliance on domestic, regional and international human rights eg </w:t>
      </w:r>
      <w:r w:rsidR="00FF347F">
        <w:rPr>
          <w:rStyle w:val="s7d2086b4"/>
          <w:rFonts w:cs="Arial"/>
        </w:rPr>
        <w:lastRenderedPageBreak/>
        <w:t>compliance with the Concluding Observations on the UK by UN Treaty bodies.  Since 2013, Scotland also has had a National Action Plan on Human Rights</w:t>
      </w:r>
      <w:r w:rsidR="00A029AF">
        <w:rPr>
          <w:rStyle w:val="FootnoteReference"/>
          <w:rFonts w:cs="Arial"/>
        </w:rPr>
        <w:footnoteReference w:id="26"/>
      </w:r>
      <w:r w:rsidR="00A029AF">
        <w:rPr>
          <w:rStyle w:val="s7d2086b4"/>
          <w:rFonts w:cs="Arial"/>
        </w:rPr>
        <w:t>.</w:t>
      </w:r>
      <w:r w:rsidR="00FF347F">
        <w:rPr>
          <w:rStyle w:val="s7d2086b4"/>
          <w:rFonts w:cs="Arial"/>
        </w:rPr>
        <w:t xml:space="preserve"> </w:t>
      </w:r>
    </w:p>
    <w:p w:rsidR="0066343B" w:rsidRDefault="0066343B" w:rsidP="00AA13A8">
      <w:pPr>
        <w:autoSpaceDE w:val="0"/>
        <w:autoSpaceDN w:val="0"/>
        <w:adjustRightInd w:val="0"/>
        <w:spacing w:after="0" w:line="240" w:lineRule="auto"/>
        <w:rPr>
          <w:rFonts w:cs="Arial"/>
        </w:rPr>
      </w:pPr>
    </w:p>
    <w:p w:rsidR="0066343B" w:rsidRPr="0066343B" w:rsidRDefault="0066343B" w:rsidP="00AA13A8">
      <w:pPr>
        <w:autoSpaceDE w:val="0"/>
        <w:autoSpaceDN w:val="0"/>
        <w:adjustRightInd w:val="0"/>
        <w:spacing w:after="0" w:line="240" w:lineRule="auto"/>
        <w:rPr>
          <w:rFonts w:cs="Arial"/>
          <w:b/>
        </w:rPr>
      </w:pPr>
      <w:r w:rsidRPr="0066343B">
        <w:rPr>
          <w:rFonts w:cs="Arial"/>
          <w:b/>
        </w:rPr>
        <w:t>Conclusion</w:t>
      </w:r>
    </w:p>
    <w:p w:rsidR="0066343B" w:rsidRPr="009D76B4" w:rsidRDefault="0066343B" w:rsidP="009D76B4">
      <w:pPr>
        <w:pStyle w:val="NormalWeb"/>
        <w:shd w:val="clear" w:color="auto" w:fill="FFFFFF"/>
        <w:spacing w:after="0" w:line="240" w:lineRule="auto"/>
        <w:rPr>
          <w:rFonts w:ascii="Arial" w:hAnsi="Arial" w:cs="Arial"/>
        </w:rPr>
      </w:pPr>
      <w:r>
        <w:rPr>
          <w:rFonts w:ascii="Arial" w:hAnsi="Arial" w:cs="Arial"/>
          <w:lang w:val="en-US"/>
        </w:rPr>
        <w:t xml:space="preserve">The Scottish Government has chosen to fulfil a promise made by the elected Government of </w:t>
      </w:r>
      <w:r w:rsidR="005E74E6">
        <w:rPr>
          <w:rFonts w:ascii="Arial" w:hAnsi="Arial" w:cs="Arial"/>
          <w:lang w:val="en-US"/>
        </w:rPr>
        <w:t>Scotland</w:t>
      </w:r>
      <w:r>
        <w:rPr>
          <w:rFonts w:ascii="Arial" w:hAnsi="Arial" w:cs="Arial"/>
          <w:lang w:val="en-US"/>
        </w:rPr>
        <w:t xml:space="preserve"> in 2002, that RSLs would be covered by FoISA.  We are </w:t>
      </w:r>
      <w:r w:rsidR="005E74E6">
        <w:rPr>
          <w:rFonts w:ascii="Arial" w:hAnsi="Arial" w:cs="Arial"/>
          <w:lang w:val="en-US"/>
        </w:rPr>
        <w:t>relieved</w:t>
      </w:r>
      <w:r>
        <w:rPr>
          <w:rFonts w:ascii="Arial" w:hAnsi="Arial" w:cs="Arial"/>
          <w:lang w:val="en-US"/>
        </w:rPr>
        <w:t xml:space="preserve"> that coverage is promised, for all RSLs, by 1</w:t>
      </w:r>
      <w:r w:rsidRPr="0066343B">
        <w:rPr>
          <w:rFonts w:ascii="Arial" w:hAnsi="Arial" w:cs="Arial"/>
          <w:vertAlign w:val="superscript"/>
          <w:lang w:val="en-US"/>
        </w:rPr>
        <w:t>st</w:t>
      </w:r>
      <w:r>
        <w:rPr>
          <w:rFonts w:ascii="Arial" w:hAnsi="Arial" w:cs="Arial"/>
          <w:lang w:val="en-US"/>
        </w:rPr>
        <w:t xml:space="preserve"> April 2018 and believe that is a sensible timescale for </w:t>
      </w:r>
      <w:r w:rsidR="005E74E6">
        <w:rPr>
          <w:rFonts w:ascii="Arial" w:hAnsi="Arial" w:cs="Arial"/>
          <w:lang w:val="en-US"/>
        </w:rPr>
        <w:t>introduction</w:t>
      </w:r>
      <w:r>
        <w:rPr>
          <w:rFonts w:ascii="Arial" w:hAnsi="Arial" w:cs="Arial"/>
          <w:lang w:val="en-US"/>
        </w:rPr>
        <w:t xml:space="preserve"> of the public’s </w:t>
      </w:r>
      <w:r w:rsidR="005E74E6">
        <w:rPr>
          <w:rFonts w:ascii="Arial" w:hAnsi="Arial" w:cs="Arial"/>
          <w:lang w:val="en-US"/>
        </w:rPr>
        <w:t>enforceable</w:t>
      </w:r>
      <w:r>
        <w:rPr>
          <w:rFonts w:ascii="Arial" w:hAnsi="Arial" w:cs="Arial"/>
          <w:lang w:val="en-US"/>
        </w:rPr>
        <w:t xml:space="preserve"> right to </w:t>
      </w:r>
      <w:r w:rsidR="005E74E6">
        <w:rPr>
          <w:rFonts w:ascii="Arial" w:hAnsi="Arial" w:cs="Arial"/>
          <w:lang w:val="en-US"/>
        </w:rPr>
        <w:t>access</w:t>
      </w:r>
      <w:r>
        <w:rPr>
          <w:rFonts w:ascii="Arial" w:hAnsi="Arial" w:cs="Arial"/>
          <w:lang w:val="en-US"/>
        </w:rPr>
        <w:t xml:space="preserve"> information. </w:t>
      </w:r>
      <w:r w:rsidR="005E74E6">
        <w:rPr>
          <w:rFonts w:ascii="Arial" w:hAnsi="Arial" w:cs="Arial"/>
          <w:lang w:val="en-US"/>
        </w:rPr>
        <w:t>Jurisprudence</w:t>
      </w:r>
      <w:r>
        <w:rPr>
          <w:rFonts w:ascii="Arial" w:hAnsi="Arial" w:cs="Arial"/>
          <w:lang w:val="en-US"/>
        </w:rPr>
        <w:t xml:space="preserve"> of the ECtHR also suggests that this decision was inevitable. </w:t>
      </w:r>
      <w:r w:rsidR="009D76B4">
        <w:rPr>
          <w:rFonts w:ascii="Arial" w:hAnsi="Arial" w:cs="Arial"/>
          <w:lang w:val="en-US"/>
        </w:rPr>
        <w:t xml:space="preserve">  </w:t>
      </w:r>
      <w:r w:rsidRPr="009D76B4">
        <w:rPr>
          <w:rFonts w:ascii="Arial" w:hAnsi="Arial" w:cs="Arial"/>
        </w:rPr>
        <w:t xml:space="preserve">In </w:t>
      </w:r>
      <w:r w:rsidR="005E74E6" w:rsidRPr="009D76B4">
        <w:rPr>
          <w:rFonts w:ascii="Arial" w:hAnsi="Arial" w:cs="Arial"/>
        </w:rPr>
        <w:t>addition,</w:t>
      </w:r>
      <w:r w:rsidRPr="009D76B4">
        <w:rPr>
          <w:rFonts w:ascii="Arial" w:hAnsi="Arial" w:cs="Arial"/>
        </w:rPr>
        <w:t xml:space="preserve"> ensuring that the public have a robust, </w:t>
      </w:r>
      <w:r w:rsidR="005E74E6" w:rsidRPr="009D76B4">
        <w:rPr>
          <w:rFonts w:ascii="Arial" w:hAnsi="Arial" w:cs="Arial"/>
        </w:rPr>
        <w:t>enforceable</w:t>
      </w:r>
      <w:r w:rsidRPr="009D76B4">
        <w:rPr>
          <w:rFonts w:ascii="Arial" w:hAnsi="Arial" w:cs="Arial"/>
        </w:rPr>
        <w:t xml:space="preserve"> right to access information is part of active democracy and fits with the current Scottish </w:t>
      </w:r>
      <w:r w:rsidR="005E74E6" w:rsidRPr="009D76B4">
        <w:rPr>
          <w:rFonts w:ascii="Arial" w:hAnsi="Arial" w:cs="Arial"/>
        </w:rPr>
        <w:t>Government</w:t>
      </w:r>
      <w:r w:rsidRPr="009D76B4">
        <w:rPr>
          <w:rFonts w:ascii="Arial" w:hAnsi="Arial" w:cs="Arial"/>
        </w:rPr>
        <w:t xml:space="preserve"> policy and legal commitments eg on ‘community empowerment’. </w:t>
      </w:r>
    </w:p>
    <w:p w:rsidR="005921B5" w:rsidRDefault="005921B5" w:rsidP="00AA13A8">
      <w:pPr>
        <w:autoSpaceDE w:val="0"/>
        <w:autoSpaceDN w:val="0"/>
        <w:adjustRightInd w:val="0"/>
        <w:spacing w:after="0" w:line="240" w:lineRule="auto"/>
        <w:rPr>
          <w:rFonts w:cs="Arial"/>
        </w:rPr>
      </w:pPr>
    </w:p>
    <w:p w:rsidR="00AA13A8" w:rsidRDefault="0066343B" w:rsidP="00AA13A8">
      <w:pPr>
        <w:autoSpaceDE w:val="0"/>
        <w:autoSpaceDN w:val="0"/>
        <w:adjustRightInd w:val="0"/>
        <w:spacing w:after="0" w:line="240" w:lineRule="auto"/>
        <w:rPr>
          <w:rFonts w:cs="Arial"/>
        </w:rPr>
      </w:pPr>
      <w:r>
        <w:rPr>
          <w:rFonts w:cs="Arial"/>
        </w:rPr>
        <w:t xml:space="preserve">This </w:t>
      </w:r>
      <w:r w:rsidR="005E74E6">
        <w:rPr>
          <w:rFonts w:cs="Arial"/>
        </w:rPr>
        <w:t>decision</w:t>
      </w:r>
      <w:r>
        <w:rPr>
          <w:rFonts w:cs="Arial"/>
        </w:rPr>
        <w:t xml:space="preserve"> is also popular, </w:t>
      </w:r>
      <w:r w:rsidR="005E74E6">
        <w:rPr>
          <w:rFonts w:cs="Arial"/>
        </w:rPr>
        <w:t>the</w:t>
      </w:r>
      <w:r w:rsidR="00FF347F">
        <w:rPr>
          <w:rFonts w:cs="Arial"/>
        </w:rPr>
        <w:t xml:space="preserve"> public know about and approve of freedom of information rights in Scotland. Polling undertaken for the Scottish Information Commissioner in 2015 confirms the positive trend:</w:t>
      </w:r>
    </w:p>
    <w:p w:rsidR="00FF347F" w:rsidRPr="00AA13A8" w:rsidRDefault="00FF347F" w:rsidP="00AC4A0C">
      <w:pPr>
        <w:pStyle w:val="ListParagraph"/>
        <w:numPr>
          <w:ilvl w:val="0"/>
          <w:numId w:val="7"/>
        </w:numPr>
        <w:tabs>
          <w:tab w:val="left" w:pos="720"/>
        </w:tabs>
        <w:autoSpaceDE w:val="0"/>
        <w:autoSpaceDN w:val="0"/>
        <w:adjustRightInd w:val="0"/>
        <w:spacing w:after="0" w:line="240" w:lineRule="auto"/>
        <w:rPr>
          <w:rFonts w:cs="Arial"/>
        </w:rPr>
      </w:pPr>
      <w:r w:rsidRPr="00AA13A8">
        <w:rPr>
          <w:rFonts w:cs="Arial"/>
        </w:rPr>
        <w:t>85%, public awareness of FOI rights in Scotland is at the highest ever recorded level. By contrast, awareness of the separate, but similar, right to access environmental information is just 27%.</w:t>
      </w:r>
    </w:p>
    <w:p w:rsidR="00FF347F" w:rsidRPr="00AA13A8" w:rsidRDefault="00FF347F" w:rsidP="00AC4A0C">
      <w:pPr>
        <w:pStyle w:val="ListParagraph"/>
        <w:numPr>
          <w:ilvl w:val="0"/>
          <w:numId w:val="7"/>
        </w:numPr>
        <w:tabs>
          <w:tab w:val="left" w:pos="720"/>
        </w:tabs>
        <w:autoSpaceDE w:val="0"/>
        <w:autoSpaceDN w:val="0"/>
        <w:adjustRightInd w:val="0"/>
        <w:spacing w:after="0" w:line="240" w:lineRule="auto"/>
        <w:rPr>
          <w:rFonts w:cs="Arial"/>
        </w:rPr>
      </w:pPr>
      <w:r w:rsidRPr="00AA13A8">
        <w:rPr>
          <w:rFonts w:cs="Arial"/>
        </w:rPr>
        <w:t xml:space="preserve">82% of people </w:t>
      </w:r>
      <w:r w:rsidRPr="00AA13A8">
        <w:rPr>
          <w:rFonts w:cs="Arial"/>
          <w:u w:val="single"/>
        </w:rPr>
        <w:t>don’t</w:t>
      </w:r>
      <w:r w:rsidRPr="00AA13A8">
        <w:rPr>
          <w:rFonts w:cs="Arial"/>
        </w:rPr>
        <w:t xml:space="preserve"> agree with that FOI is a waste of public money.</w:t>
      </w:r>
    </w:p>
    <w:p w:rsidR="00FF347F" w:rsidRPr="00AA13A8" w:rsidRDefault="00FF347F" w:rsidP="00AC4A0C">
      <w:pPr>
        <w:pStyle w:val="ListParagraph"/>
        <w:numPr>
          <w:ilvl w:val="0"/>
          <w:numId w:val="7"/>
        </w:numPr>
        <w:tabs>
          <w:tab w:val="left" w:pos="720"/>
        </w:tabs>
        <w:autoSpaceDE w:val="0"/>
        <w:autoSpaceDN w:val="0"/>
        <w:adjustRightInd w:val="0"/>
        <w:spacing w:after="0" w:line="240" w:lineRule="auto"/>
        <w:rPr>
          <w:rFonts w:cs="Arial"/>
        </w:rPr>
      </w:pPr>
      <w:r w:rsidRPr="00AA13A8">
        <w:rPr>
          <w:rFonts w:cs="Arial"/>
        </w:rPr>
        <w:t>91% agreed (“strongly” or “tend to”) that it is important for the public to be able to access information.  This shows a small fall from 95% in 2014.</w:t>
      </w:r>
    </w:p>
    <w:p w:rsidR="00FF347F" w:rsidRPr="00AA13A8" w:rsidRDefault="009D76B4" w:rsidP="00AC4A0C">
      <w:pPr>
        <w:pStyle w:val="ListParagraph"/>
        <w:numPr>
          <w:ilvl w:val="0"/>
          <w:numId w:val="7"/>
        </w:numPr>
        <w:tabs>
          <w:tab w:val="left" w:pos="720"/>
        </w:tabs>
        <w:autoSpaceDE w:val="0"/>
        <w:autoSpaceDN w:val="0"/>
        <w:adjustRightInd w:val="0"/>
        <w:spacing w:after="0" w:line="240" w:lineRule="auto"/>
        <w:rPr>
          <w:rFonts w:cs="Arial"/>
        </w:rPr>
      </w:pPr>
      <w:r>
        <w:rPr>
          <w:rFonts w:cs="Arial"/>
        </w:rPr>
        <w:t xml:space="preserve">77% agree </w:t>
      </w:r>
      <w:r w:rsidR="00FF347F" w:rsidRPr="00AA13A8">
        <w:rPr>
          <w:rFonts w:cs="Arial"/>
        </w:rPr>
        <w:t xml:space="preserve">FOI gives them more confidence in </w:t>
      </w:r>
      <w:r>
        <w:rPr>
          <w:rFonts w:cs="Arial"/>
        </w:rPr>
        <w:t>Scottish public body decisions</w:t>
      </w:r>
      <w:r w:rsidR="00FF347F" w:rsidRPr="00AA13A8">
        <w:rPr>
          <w:rFonts w:cs="Arial"/>
        </w:rPr>
        <w:t>. 13% disagreed with this statement, and 9% felt there was no relationship.</w:t>
      </w:r>
    </w:p>
    <w:p w:rsidR="00982BA7" w:rsidRDefault="00982BA7" w:rsidP="00B33214">
      <w:pPr>
        <w:spacing w:after="0" w:line="240" w:lineRule="auto"/>
      </w:pPr>
    </w:p>
    <w:p w:rsidR="008D273A" w:rsidRDefault="0066343B" w:rsidP="00B33214">
      <w:pPr>
        <w:spacing w:after="0" w:line="240" w:lineRule="auto"/>
      </w:pPr>
      <w:r w:rsidRPr="0066343B">
        <w:t xml:space="preserve">Given the popularity of the right to know, we look forward to it being </w:t>
      </w:r>
      <w:r w:rsidR="005E74E6" w:rsidRPr="0066343B">
        <w:t>exercised</w:t>
      </w:r>
      <w:r w:rsidRPr="0066343B">
        <w:t xml:space="preserve"> in Scotland and for the RSL publication schemes to be ambitious thus cutting </w:t>
      </w:r>
      <w:r w:rsidR="005E74E6">
        <w:t>down on the need to make in</w:t>
      </w:r>
      <w:r w:rsidRPr="0066343B">
        <w:t>divi</w:t>
      </w:r>
      <w:r w:rsidR="005E74E6">
        <w:t>du</w:t>
      </w:r>
      <w:r w:rsidRPr="0066343B">
        <w:t>al FoI requests in the first instance.</w:t>
      </w:r>
    </w:p>
    <w:p w:rsidR="008D273A" w:rsidRDefault="008D273A">
      <w:pPr>
        <w:spacing w:after="0" w:line="240" w:lineRule="auto"/>
      </w:pPr>
      <w:r>
        <w:br w:type="page"/>
      </w:r>
    </w:p>
    <w:p w:rsidR="00B906B3" w:rsidRPr="0066343B" w:rsidRDefault="00B906B3" w:rsidP="00B33214">
      <w:pPr>
        <w:spacing w:after="0" w:line="240" w:lineRule="auto"/>
      </w:pPr>
    </w:p>
    <w:p w:rsidR="008D273A" w:rsidRDefault="00B906B3" w:rsidP="00B906B3">
      <w:pPr>
        <w:spacing w:after="0" w:line="240" w:lineRule="auto"/>
        <w:rPr>
          <w:b/>
        </w:rPr>
      </w:pPr>
      <w:r w:rsidRPr="00B906B3">
        <w:rPr>
          <w:b/>
        </w:rPr>
        <w:t xml:space="preserve">Appendix 1 </w:t>
      </w:r>
    </w:p>
    <w:p w:rsidR="00B906B3" w:rsidRDefault="008D273A" w:rsidP="00B906B3">
      <w:pPr>
        <w:spacing w:after="0" w:line="240" w:lineRule="auto"/>
        <w:rPr>
          <w:b/>
        </w:rPr>
      </w:pPr>
      <w:r>
        <w:rPr>
          <w:b/>
        </w:rPr>
        <w:t xml:space="preserve">CFoIS </w:t>
      </w:r>
      <w:r w:rsidR="00B906B3" w:rsidRPr="00B906B3">
        <w:rPr>
          <w:b/>
        </w:rPr>
        <w:t>2016 Manifesto and Agenda for Action for MSPs</w:t>
      </w:r>
    </w:p>
    <w:p w:rsidR="00B906B3" w:rsidRPr="00B906B3" w:rsidRDefault="00B906B3" w:rsidP="00B906B3">
      <w:pPr>
        <w:spacing w:after="0" w:line="240" w:lineRule="auto"/>
        <w:rPr>
          <w:b/>
        </w:rPr>
      </w:pPr>
    </w:p>
    <w:p w:rsidR="00B906B3" w:rsidRDefault="00B906B3" w:rsidP="00AC4A0C">
      <w:pPr>
        <w:numPr>
          <w:ilvl w:val="0"/>
          <w:numId w:val="2"/>
        </w:numPr>
        <w:spacing w:after="0" w:line="240" w:lineRule="auto"/>
      </w:pPr>
      <w:r>
        <w:t>Accept that the right to access information is a human right</w:t>
      </w:r>
      <w:r>
        <w:rPr>
          <w:rStyle w:val="FootnoteReference"/>
        </w:rPr>
        <w:footnoteReference w:id="27"/>
      </w:r>
      <w:r>
        <w:t xml:space="preserve">.  </w:t>
      </w:r>
    </w:p>
    <w:p w:rsidR="00B906B3" w:rsidRDefault="00B906B3" w:rsidP="00B906B3">
      <w:pPr>
        <w:spacing w:after="0" w:line="240" w:lineRule="auto"/>
        <w:ind w:left="1004"/>
      </w:pPr>
    </w:p>
    <w:p w:rsidR="00B906B3" w:rsidRDefault="00B906B3" w:rsidP="00AC4A0C">
      <w:pPr>
        <w:numPr>
          <w:ilvl w:val="0"/>
          <w:numId w:val="2"/>
        </w:numPr>
        <w:spacing w:after="0" w:line="240" w:lineRule="auto"/>
      </w:pPr>
      <w:r>
        <w:t>Restore the public’s right to access information to at least its 2005 status eg restore FoI rights to 15,000 housing association tenants whose homes were owned by local authorities in 2005.</w:t>
      </w:r>
      <w:r>
        <w:rPr>
          <w:rStyle w:val="FootnoteReference"/>
        </w:rPr>
        <w:footnoteReference w:id="28"/>
      </w:r>
      <w:r>
        <w:t xml:space="preserve"> </w:t>
      </w:r>
    </w:p>
    <w:p w:rsidR="00B906B3" w:rsidRDefault="00B906B3" w:rsidP="00B906B3">
      <w:pPr>
        <w:spacing w:after="0" w:line="240" w:lineRule="auto"/>
      </w:pPr>
    </w:p>
    <w:p w:rsidR="00B906B3" w:rsidRPr="00842FC5" w:rsidRDefault="00B906B3" w:rsidP="00AC4A0C">
      <w:pPr>
        <w:numPr>
          <w:ilvl w:val="0"/>
          <w:numId w:val="2"/>
        </w:numPr>
        <w:spacing w:after="0" w:line="240" w:lineRule="auto"/>
        <w:rPr>
          <w:sz w:val="22"/>
        </w:rPr>
      </w:pPr>
      <w:r>
        <w:t>Restore the operation of the Scottish Public Information Forum to enable effective engagement with stakeholders, and to maintain and develop an enforceable right to access information which meets the public’s expectations.</w:t>
      </w:r>
      <w:r>
        <w:rPr>
          <w:rStyle w:val="FootnoteReference"/>
        </w:rPr>
        <w:footnoteReference w:id="29"/>
      </w:r>
    </w:p>
    <w:p w:rsidR="00B906B3" w:rsidRPr="00842FC5" w:rsidRDefault="00B906B3" w:rsidP="00B906B3">
      <w:pPr>
        <w:spacing w:after="0" w:line="240" w:lineRule="auto"/>
        <w:rPr>
          <w:sz w:val="22"/>
        </w:rPr>
      </w:pPr>
    </w:p>
    <w:p w:rsidR="00B906B3" w:rsidRDefault="00B906B3" w:rsidP="00AC4A0C">
      <w:pPr>
        <w:numPr>
          <w:ilvl w:val="0"/>
          <w:numId w:val="2"/>
        </w:numPr>
        <w:spacing w:after="0" w:line="240" w:lineRule="auto"/>
      </w:pPr>
      <w:r>
        <w:t>Extend the right to access information to reflect changes in public service delivery in Scotland eg to voluntary organisations and RSLs.</w:t>
      </w:r>
    </w:p>
    <w:p w:rsidR="00B906B3" w:rsidRDefault="00B906B3" w:rsidP="00B906B3">
      <w:pPr>
        <w:spacing w:after="0" w:line="240" w:lineRule="auto"/>
        <w:ind w:left="1004"/>
      </w:pPr>
    </w:p>
    <w:p w:rsidR="00B906B3" w:rsidRDefault="00B906B3" w:rsidP="00AC4A0C">
      <w:pPr>
        <w:numPr>
          <w:ilvl w:val="0"/>
          <w:numId w:val="2"/>
        </w:numPr>
        <w:spacing w:after="0" w:line="240" w:lineRule="auto"/>
      </w:pPr>
      <w:r>
        <w:t xml:space="preserve">Undertake an audit of all arms-length external organisations (ALEOs) and catalogue their functions, to enable informed decision making about the coverage and operation of FoISA. </w:t>
      </w:r>
    </w:p>
    <w:p w:rsidR="00B906B3" w:rsidRDefault="00B906B3" w:rsidP="00B906B3">
      <w:pPr>
        <w:spacing w:after="0" w:line="240" w:lineRule="auto"/>
        <w:ind w:left="1004"/>
      </w:pPr>
    </w:p>
    <w:p w:rsidR="00B906B3" w:rsidRDefault="00B906B3" w:rsidP="00AC4A0C">
      <w:pPr>
        <w:numPr>
          <w:ilvl w:val="0"/>
          <w:numId w:val="2"/>
        </w:numPr>
        <w:spacing w:after="0" w:line="240" w:lineRule="auto"/>
      </w:pPr>
      <w:r>
        <w:t>Quickly extend the coverage of FoISA to all known ALEOs not already included, all public sector organisations and others delivering services of a public nature.</w:t>
      </w:r>
    </w:p>
    <w:p w:rsidR="00B906B3" w:rsidRDefault="00B906B3" w:rsidP="00B906B3">
      <w:pPr>
        <w:spacing w:after="0" w:line="240" w:lineRule="auto"/>
        <w:ind w:left="1004"/>
      </w:pPr>
    </w:p>
    <w:p w:rsidR="00B906B3" w:rsidRDefault="00B906B3" w:rsidP="00AC4A0C">
      <w:pPr>
        <w:numPr>
          <w:ilvl w:val="0"/>
          <w:numId w:val="2"/>
        </w:numPr>
        <w:spacing w:after="0" w:line="240" w:lineRule="auto"/>
      </w:pPr>
      <w:r>
        <w:t>Agree it is the function delivered that requires FoISA coverage.  Adopting this principle will ensure consistency in the coverage of FoISA</w:t>
      </w:r>
      <w:r>
        <w:rPr>
          <w:rStyle w:val="FootnoteReference"/>
        </w:rPr>
        <w:footnoteReference w:id="30"/>
      </w:r>
      <w:r>
        <w:t xml:space="preserve">. </w:t>
      </w:r>
    </w:p>
    <w:p w:rsidR="00B906B3" w:rsidRDefault="00B906B3" w:rsidP="00B906B3">
      <w:pPr>
        <w:spacing w:after="0" w:line="240" w:lineRule="auto"/>
      </w:pPr>
    </w:p>
    <w:p w:rsidR="00B906B3" w:rsidRDefault="00B906B3" w:rsidP="00AC4A0C">
      <w:pPr>
        <w:numPr>
          <w:ilvl w:val="0"/>
          <w:numId w:val="2"/>
        </w:numPr>
        <w:spacing w:after="0" w:line="240" w:lineRule="auto"/>
      </w:pPr>
      <w:r>
        <w:t xml:space="preserve">Maintain the principle that FoISA obligations apply equally to all organisations covered. </w:t>
      </w:r>
    </w:p>
    <w:p w:rsidR="00B906B3" w:rsidRDefault="00B906B3" w:rsidP="00B906B3">
      <w:pPr>
        <w:spacing w:after="0" w:line="240" w:lineRule="auto"/>
      </w:pPr>
    </w:p>
    <w:p w:rsidR="00B906B3" w:rsidRDefault="00B906B3" w:rsidP="00AC4A0C">
      <w:pPr>
        <w:numPr>
          <w:ilvl w:val="0"/>
          <w:numId w:val="2"/>
        </w:numPr>
        <w:spacing w:after="0" w:line="240" w:lineRule="auto"/>
      </w:pPr>
      <w:r>
        <w:t>Reject any introduction of a new category of ‘core’ public organisations as a way of diluting the effectiveness of FoISA</w:t>
      </w:r>
      <w:r>
        <w:rPr>
          <w:rStyle w:val="FootnoteReference"/>
        </w:rPr>
        <w:footnoteReference w:id="31"/>
      </w:r>
      <w:r>
        <w:t>.</w:t>
      </w:r>
    </w:p>
    <w:p w:rsidR="00B906B3" w:rsidRDefault="00B906B3" w:rsidP="00B906B3">
      <w:pPr>
        <w:spacing w:after="0" w:line="240" w:lineRule="auto"/>
      </w:pPr>
    </w:p>
    <w:p w:rsidR="00B906B3" w:rsidRDefault="00B906B3" w:rsidP="00AC4A0C">
      <w:pPr>
        <w:numPr>
          <w:ilvl w:val="0"/>
          <w:numId w:val="2"/>
        </w:numPr>
        <w:spacing w:after="0" w:line="240" w:lineRule="auto"/>
      </w:pPr>
      <w:r>
        <w:t>Review the operation of FoISA to ensure our enforceable right to access information</w:t>
      </w:r>
      <w:r w:rsidRPr="00E357E8">
        <w:rPr>
          <w:b/>
        </w:rPr>
        <w:t xml:space="preserve"> </w:t>
      </w:r>
      <w:r>
        <w:t>remains effective in delivering open, transparent and accountable government and public services.</w:t>
      </w:r>
    </w:p>
    <w:p w:rsidR="00331BC8" w:rsidRPr="00A67F1F" w:rsidRDefault="00331BC8" w:rsidP="00F934B5">
      <w:pPr>
        <w:spacing w:after="0" w:line="240" w:lineRule="auto"/>
      </w:pPr>
    </w:p>
    <w:sectPr w:rsidR="00331BC8" w:rsidRPr="00A67F1F" w:rsidSect="0096270D">
      <w:headerReference w:type="default" r:id="rId12"/>
      <w:footerReference w:type="default" r:id="rId13"/>
      <w:pgSz w:w="11906" w:h="16838"/>
      <w:pgMar w:top="567" w:right="567" w:bottom="1134"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36" w:rsidRDefault="007D0236" w:rsidP="008145BF">
      <w:pPr>
        <w:spacing w:after="0" w:line="240" w:lineRule="auto"/>
      </w:pPr>
      <w:r>
        <w:separator/>
      </w:r>
    </w:p>
  </w:endnote>
  <w:endnote w:type="continuationSeparator" w:id="0">
    <w:p w:rsidR="007D0236" w:rsidRDefault="007D0236" w:rsidP="0081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MS Gothic"/>
    <w:charset w:val="80"/>
    <w:family w:val="auto"/>
    <w:pitch w:val="variable"/>
    <w:sig w:usb0="00000001" w:usb1="7AC7FFFF" w:usb2="01000417" w:usb3="00000000" w:csb0="0002000D" w:csb1="00000000"/>
  </w:font>
  <w:font w:name="Helvetica">
    <w:panose1 w:val="020B0604020202020204"/>
    <w:charset w:val="00"/>
    <w:family w:val="auto"/>
    <w:pitch w:val="variable"/>
    <w:sig w:usb0="00000003" w:usb1="00000000" w:usb2="00000000" w:usb3="00000000" w:csb0="00000001" w:csb1="00000000"/>
  </w:font>
  <w:font w:name="Clan-Bold">
    <w:altName w:val="Calibri"/>
    <w:panose1 w:val="00000000000000000000"/>
    <w:charset w:val="00"/>
    <w:family w:val="swiss"/>
    <w:notTrueType/>
    <w:pitch w:val="default"/>
    <w:sig w:usb0="00000003" w:usb1="00000000" w:usb2="00000000" w:usb3="00000000" w:csb0="00000001" w:csb1="00000000"/>
  </w:font>
  <w:font w:name="FuturaStd-Heavy">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0A6" w:rsidRDefault="007D0236">
    <w:pPr>
      <w:pStyle w:val="Footer"/>
      <w:jc w:val="right"/>
    </w:pPr>
    <w:r>
      <w:fldChar w:fldCharType="begin"/>
    </w:r>
    <w:r>
      <w:instrText xml:space="preserve"> PAGE   \* MERGEFORMAT </w:instrText>
    </w:r>
    <w:r>
      <w:fldChar w:fldCharType="separate"/>
    </w:r>
    <w:r w:rsidR="00036159">
      <w:rPr>
        <w:noProof/>
      </w:rPr>
      <w:t>5</w:t>
    </w:r>
    <w:r>
      <w:rPr>
        <w:noProof/>
      </w:rPr>
      <w:fldChar w:fldCharType="end"/>
    </w:r>
  </w:p>
  <w:p w:rsidR="007160A6" w:rsidRDefault="0071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36" w:rsidRDefault="007D0236" w:rsidP="008145BF">
      <w:pPr>
        <w:spacing w:after="0" w:line="240" w:lineRule="auto"/>
      </w:pPr>
      <w:r>
        <w:separator/>
      </w:r>
    </w:p>
  </w:footnote>
  <w:footnote w:type="continuationSeparator" w:id="0">
    <w:p w:rsidR="007D0236" w:rsidRDefault="007D0236" w:rsidP="008145BF">
      <w:pPr>
        <w:spacing w:after="0" w:line="240" w:lineRule="auto"/>
      </w:pPr>
      <w:r>
        <w:continuationSeparator/>
      </w:r>
    </w:p>
  </w:footnote>
  <w:footnote w:id="1">
    <w:p w:rsidR="007160A6" w:rsidRDefault="007160A6">
      <w:pPr>
        <w:pStyle w:val="FootnoteText"/>
      </w:pPr>
      <w:r>
        <w:rPr>
          <w:rStyle w:val="FootnoteReference"/>
        </w:rPr>
        <w:footnoteRef/>
      </w:r>
      <w:r>
        <w:t xml:space="preserve"> Pg 7 of the consultation </w:t>
      </w:r>
      <w:hyperlink r:id="rId1" w:history="1">
        <w:r w:rsidRPr="00C42B22">
          <w:rPr>
            <w:rStyle w:val="Hyperlink"/>
          </w:rPr>
          <w:t>http://www.gov.scot/Resource/0051/00510874.pdf</w:t>
        </w:r>
      </w:hyperlink>
      <w:r>
        <w:t xml:space="preserve"> </w:t>
      </w:r>
    </w:p>
  </w:footnote>
  <w:footnote w:id="2">
    <w:p w:rsidR="007160A6" w:rsidRDefault="007160A6">
      <w:pPr>
        <w:pStyle w:val="FootnoteText"/>
      </w:pPr>
      <w:r>
        <w:rPr>
          <w:rStyle w:val="FootnoteReference"/>
        </w:rPr>
        <w:footnoteRef/>
      </w:r>
      <w:r>
        <w:t xml:space="preserve"> Pg 15, Ibid</w:t>
      </w:r>
    </w:p>
  </w:footnote>
  <w:footnote w:id="3">
    <w:p w:rsidR="007160A6" w:rsidRDefault="007160A6">
      <w:pPr>
        <w:pStyle w:val="FootnoteText"/>
      </w:pPr>
      <w:r>
        <w:rPr>
          <w:rStyle w:val="FootnoteReference"/>
        </w:rPr>
        <w:footnoteRef/>
      </w:r>
      <w:r>
        <w:t xml:space="preserve"> Ibid</w:t>
      </w:r>
    </w:p>
  </w:footnote>
  <w:footnote w:id="4">
    <w:p w:rsidR="007160A6" w:rsidRPr="00150B2B" w:rsidRDefault="007160A6" w:rsidP="00744FAA">
      <w:pPr>
        <w:pStyle w:val="Default"/>
        <w:rPr>
          <w:sz w:val="20"/>
          <w:szCs w:val="20"/>
        </w:rPr>
      </w:pPr>
      <w:r>
        <w:rPr>
          <w:rStyle w:val="FootnoteReference"/>
        </w:rPr>
        <w:footnoteRef/>
      </w:r>
      <w:r>
        <w:t xml:space="preserve"> </w:t>
      </w:r>
      <w:r w:rsidRPr="00150B2B">
        <w:rPr>
          <w:bCs/>
          <w:sz w:val="20"/>
          <w:szCs w:val="20"/>
        </w:rPr>
        <w:t xml:space="preserve">SCOTTISH MINISTERS’ CODE OF PRACTICE ON THE DISCHARGE OF FUNCTIONS BY SCOTTISH PUBLIC AUTHORITIES UNDER THE FREEDOM OF INFORMATION (SCOTLAND) ACT 2002 AND THE ENVIRONMENTAL INFORMATION (SCOTLAND) REGULATIONS 2004 </w:t>
      </w:r>
      <w:r>
        <w:rPr>
          <w:bCs/>
          <w:sz w:val="20"/>
          <w:szCs w:val="20"/>
        </w:rPr>
        <w:t xml:space="preserve">pub </w:t>
      </w:r>
      <w:r w:rsidRPr="00150B2B">
        <w:rPr>
          <w:bCs/>
          <w:sz w:val="20"/>
          <w:szCs w:val="20"/>
        </w:rPr>
        <w:t>10</w:t>
      </w:r>
      <w:r>
        <w:rPr>
          <w:bCs/>
          <w:sz w:val="20"/>
          <w:szCs w:val="20"/>
        </w:rPr>
        <w:t>th</w:t>
      </w:r>
      <w:r w:rsidRPr="00150B2B">
        <w:rPr>
          <w:bCs/>
          <w:sz w:val="20"/>
          <w:szCs w:val="20"/>
        </w:rPr>
        <w:t xml:space="preserve"> December 2014</w:t>
      </w:r>
      <w:r>
        <w:rPr>
          <w:bCs/>
          <w:sz w:val="20"/>
          <w:szCs w:val="20"/>
        </w:rPr>
        <w:t xml:space="preserve"> at </w:t>
      </w:r>
      <w:hyperlink r:id="rId2" w:history="1">
        <w:r w:rsidRPr="00185BA3">
          <w:rPr>
            <w:rStyle w:val="Hyperlink"/>
            <w:bCs/>
            <w:sz w:val="20"/>
            <w:szCs w:val="20"/>
          </w:rPr>
          <w:t>http://www.gov.scot/Resource/0046/00465757.pdf</w:t>
        </w:r>
      </w:hyperlink>
      <w:r>
        <w:rPr>
          <w:bCs/>
          <w:sz w:val="20"/>
          <w:szCs w:val="20"/>
        </w:rPr>
        <w:t xml:space="preserve"> </w:t>
      </w:r>
      <w:r w:rsidRPr="00150B2B">
        <w:rPr>
          <w:bCs/>
          <w:sz w:val="20"/>
          <w:szCs w:val="20"/>
        </w:rPr>
        <w:t xml:space="preserve"> </w:t>
      </w:r>
      <w:r>
        <w:rPr>
          <w:bCs/>
          <w:sz w:val="20"/>
          <w:szCs w:val="20"/>
        </w:rPr>
        <w:t xml:space="preserve"> </w:t>
      </w:r>
    </w:p>
  </w:footnote>
  <w:footnote w:id="5">
    <w:p w:rsidR="007160A6" w:rsidRDefault="007160A6">
      <w:pPr>
        <w:pStyle w:val="FootnoteText"/>
      </w:pPr>
      <w:r>
        <w:rPr>
          <w:rStyle w:val="FootnoteReference"/>
        </w:rPr>
        <w:footnoteRef/>
      </w:r>
      <w:r>
        <w:t xml:space="preserve"> For more information on the Act and subsequent amendments see website of the Scottish Information Commissioner </w:t>
      </w:r>
      <w:hyperlink r:id="rId3" w:history="1">
        <w:r w:rsidRPr="005E1D56">
          <w:rPr>
            <w:rStyle w:val="Hyperlink"/>
          </w:rPr>
          <w:t>http://www.itspublicknowledge.info/Law/FOISA.aspx</w:t>
        </w:r>
      </w:hyperlink>
      <w:r>
        <w:t xml:space="preserve"> </w:t>
      </w:r>
    </w:p>
  </w:footnote>
  <w:footnote w:id="6">
    <w:p w:rsidR="007160A6" w:rsidRDefault="007160A6">
      <w:pPr>
        <w:pStyle w:val="FootnoteText"/>
      </w:pPr>
      <w:r>
        <w:rPr>
          <w:rStyle w:val="FootnoteReference"/>
        </w:rPr>
        <w:footnoteRef/>
      </w:r>
      <w:r>
        <w:t xml:space="preserve">The Regulations are available at </w:t>
      </w:r>
      <w:hyperlink r:id="rId4" w:history="1">
        <w:r w:rsidRPr="00C42B22">
          <w:rPr>
            <w:rStyle w:val="Hyperlink"/>
          </w:rPr>
          <w:t>http://www.legislation.gov.uk/ssi/2016/346/contents/made</w:t>
        </w:r>
      </w:hyperlink>
      <w:r>
        <w:t xml:space="preserve"> </w:t>
      </w:r>
    </w:p>
  </w:footnote>
  <w:footnote w:id="7">
    <w:p w:rsidR="007160A6" w:rsidRDefault="007160A6">
      <w:pPr>
        <w:pStyle w:val="FootnoteText"/>
      </w:pPr>
      <w:r>
        <w:rPr>
          <w:rStyle w:val="FootnoteReference"/>
        </w:rPr>
        <w:footnoteRef/>
      </w:r>
      <w:r>
        <w:t xml:space="preserve"> Pg 17 of the Consultation </w:t>
      </w:r>
      <w:hyperlink r:id="rId5" w:history="1">
        <w:r w:rsidRPr="00C42B22">
          <w:rPr>
            <w:rStyle w:val="Hyperlink"/>
          </w:rPr>
          <w:t>http://www.gov.scot/Resource/0051/00510874.pdf</w:t>
        </w:r>
      </w:hyperlink>
      <w:r>
        <w:t xml:space="preserve"> </w:t>
      </w:r>
    </w:p>
  </w:footnote>
  <w:footnote w:id="8">
    <w:p w:rsidR="007160A6" w:rsidRDefault="007160A6" w:rsidP="002E5365">
      <w:pPr>
        <w:pStyle w:val="FootnoteText"/>
      </w:pPr>
      <w:r>
        <w:rPr>
          <w:rStyle w:val="FootnoteReference"/>
        </w:rPr>
        <w:footnoteRef/>
      </w:r>
      <w:r>
        <w:t xml:space="preserve"> For more information go to the dedicated website </w:t>
      </w:r>
      <w:hyperlink r:id="rId6" w:history="1">
        <w:r w:rsidRPr="007879B1">
          <w:rPr>
            <w:rStyle w:val="Hyperlink"/>
          </w:rPr>
          <w:t>http://www.scottishhumanrights.com/eqhria</w:t>
        </w:r>
      </w:hyperlink>
      <w:r>
        <w:t xml:space="preserve"> </w:t>
      </w:r>
    </w:p>
  </w:footnote>
  <w:footnote w:id="9">
    <w:p w:rsidR="007160A6" w:rsidRDefault="007160A6" w:rsidP="00F36782">
      <w:pPr>
        <w:pStyle w:val="FootnoteText"/>
      </w:pPr>
      <w:r>
        <w:rPr>
          <w:rStyle w:val="FootnoteReference"/>
        </w:rPr>
        <w:footnoteRef/>
      </w:r>
      <w:r>
        <w:t xml:space="preserve"> Pg. 5 See Note 2</w:t>
      </w:r>
    </w:p>
  </w:footnote>
  <w:footnote w:id="10">
    <w:p w:rsidR="007160A6" w:rsidRDefault="007160A6">
      <w:pPr>
        <w:pStyle w:val="FootnoteText"/>
      </w:pPr>
      <w:r>
        <w:rPr>
          <w:rStyle w:val="FootnoteReference"/>
        </w:rPr>
        <w:footnoteRef/>
      </w:r>
      <w:r>
        <w:t xml:space="preserve"> Pg 7 of the Consultation</w:t>
      </w:r>
    </w:p>
  </w:footnote>
  <w:footnote w:id="11">
    <w:p w:rsidR="007160A6" w:rsidRDefault="007160A6">
      <w:pPr>
        <w:pStyle w:val="FootnoteText"/>
      </w:pPr>
      <w:r>
        <w:rPr>
          <w:rStyle w:val="FootnoteReference"/>
        </w:rPr>
        <w:footnoteRef/>
      </w:r>
      <w:r>
        <w:t xml:space="preserve"> Pg 8, Ibid</w:t>
      </w:r>
    </w:p>
  </w:footnote>
  <w:footnote w:id="12">
    <w:p w:rsidR="007160A6" w:rsidRDefault="007160A6">
      <w:pPr>
        <w:pStyle w:val="FootnoteText"/>
      </w:pPr>
      <w:r>
        <w:rPr>
          <w:rStyle w:val="FootnoteReference"/>
        </w:rPr>
        <w:footnoteRef/>
      </w:r>
      <w:r>
        <w:t xml:space="preserve"> Pg 17, Ibid</w:t>
      </w:r>
    </w:p>
  </w:footnote>
  <w:footnote w:id="13">
    <w:p w:rsidR="007160A6" w:rsidRDefault="007160A6" w:rsidP="00F36782">
      <w:pPr>
        <w:shd w:val="clear" w:color="auto" w:fill="FFFFFF"/>
        <w:spacing w:after="0" w:line="240" w:lineRule="auto"/>
      </w:pPr>
      <w:r>
        <w:rPr>
          <w:rStyle w:val="FootnoteReference"/>
        </w:rPr>
        <w:footnoteRef/>
      </w:r>
      <w:r>
        <w:t xml:space="preserve"> </w:t>
      </w:r>
      <w:r w:rsidRPr="00F36782">
        <w:rPr>
          <w:sz w:val="20"/>
          <w:szCs w:val="20"/>
        </w:rPr>
        <w:t>See Third Force News Online Article on 13</w:t>
      </w:r>
      <w:r w:rsidRPr="00F36782">
        <w:rPr>
          <w:sz w:val="20"/>
          <w:szCs w:val="20"/>
          <w:vertAlign w:val="superscript"/>
        </w:rPr>
        <w:t>th</w:t>
      </w:r>
      <w:r w:rsidRPr="00F36782">
        <w:rPr>
          <w:sz w:val="20"/>
          <w:szCs w:val="20"/>
        </w:rPr>
        <w:t xml:space="preserve"> February 2017 </w:t>
      </w:r>
      <w:hyperlink r:id="rId7" w:history="1">
        <w:r w:rsidRPr="00F36782">
          <w:rPr>
            <w:rStyle w:val="Hyperlink"/>
            <w:sz w:val="20"/>
            <w:szCs w:val="20"/>
          </w:rPr>
          <w:t>http://thirdforcenews.org.uk/tfn-news/under-fire-housing-association-boss-refuses-to-quit?utm_medium=email&amp;utm_campaign=TFN%20digest%20Tuesday%2014%20February&amp;utm_content=TFN%20digest%20Tuesday%2014%20February+CID_f13407ff2ebbd350220a7adaaa33d097&amp;utm_source=Email%20marketing%20software&amp;utm_term=Under-fire%20housing%20association%20boss%20refuses%20to%20quit</w:t>
        </w:r>
      </w:hyperlink>
      <w:r>
        <w:t xml:space="preserve">  </w:t>
      </w:r>
    </w:p>
  </w:footnote>
  <w:footnote w:id="14">
    <w:p w:rsidR="007160A6" w:rsidRDefault="007160A6">
      <w:pPr>
        <w:pStyle w:val="FootnoteText"/>
      </w:pPr>
      <w:r>
        <w:rPr>
          <w:rStyle w:val="FootnoteReference"/>
        </w:rPr>
        <w:footnoteRef/>
      </w:r>
      <w:r>
        <w:t xml:space="preserve"> Pg 19 of the Consultation</w:t>
      </w:r>
    </w:p>
  </w:footnote>
  <w:footnote w:id="15">
    <w:p w:rsidR="007160A6" w:rsidRDefault="007160A6">
      <w:pPr>
        <w:pStyle w:val="FootnoteText"/>
      </w:pPr>
      <w:r>
        <w:rPr>
          <w:rStyle w:val="FootnoteReference"/>
        </w:rPr>
        <w:footnoteRef/>
      </w:r>
      <w:r>
        <w:t xml:space="preserve"> 5.1 Pg  21</w:t>
      </w:r>
    </w:p>
  </w:footnote>
  <w:footnote w:id="16">
    <w:p w:rsidR="007160A6" w:rsidRDefault="007160A6">
      <w:pPr>
        <w:pStyle w:val="FootnoteText"/>
      </w:pPr>
      <w:r>
        <w:rPr>
          <w:rStyle w:val="FootnoteReference"/>
        </w:rPr>
        <w:footnoteRef/>
      </w:r>
      <w:r>
        <w:t xml:space="preserve"> See Scottish Human Rights Commission </w:t>
      </w:r>
      <w:hyperlink r:id="rId8" w:history="1">
        <w:r w:rsidRPr="00C42B22">
          <w:rPr>
            <w:rStyle w:val="Hyperlink"/>
          </w:rPr>
          <w:t>http://www.snaprights.info/action-areas/better-world/business-and-human-rights</w:t>
        </w:r>
      </w:hyperlink>
      <w:r>
        <w:t xml:space="preserve"> </w:t>
      </w:r>
    </w:p>
  </w:footnote>
  <w:footnote w:id="17">
    <w:p w:rsidR="007160A6" w:rsidRDefault="007160A6" w:rsidP="00790C6C">
      <w:pPr>
        <w:autoSpaceDE w:val="0"/>
        <w:autoSpaceDN w:val="0"/>
        <w:adjustRightInd w:val="0"/>
        <w:spacing w:after="0" w:line="240" w:lineRule="auto"/>
      </w:pPr>
      <w:r>
        <w:rPr>
          <w:rStyle w:val="FootnoteReference"/>
        </w:rPr>
        <w:footnoteRef/>
      </w:r>
      <w:r>
        <w:t xml:space="preserve"> </w:t>
      </w:r>
      <w:r w:rsidRPr="00790C6C">
        <w:rPr>
          <w:rFonts w:cs="Arial"/>
          <w:sz w:val="20"/>
          <w:szCs w:val="20"/>
        </w:rPr>
        <w:t xml:space="preserve">For more information see </w:t>
      </w:r>
      <w:r>
        <w:rPr>
          <w:rFonts w:cs="Arial"/>
          <w:sz w:val="20"/>
          <w:szCs w:val="20"/>
        </w:rPr>
        <w:t>‘</w:t>
      </w:r>
      <w:r w:rsidRPr="00790C6C">
        <w:rPr>
          <w:rFonts w:cs="Arial"/>
          <w:sz w:val="20"/>
          <w:szCs w:val="20"/>
          <w:lang w:val="en-US" w:eastAsia="en-GB"/>
        </w:rPr>
        <w:t>Implementing</w:t>
      </w:r>
      <w:r>
        <w:rPr>
          <w:rFonts w:cs="Arial"/>
          <w:sz w:val="20"/>
          <w:szCs w:val="20"/>
          <w:lang w:val="en-US" w:eastAsia="en-GB"/>
        </w:rPr>
        <w:t xml:space="preserve"> </w:t>
      </w:r>
      <w:r w:rsidRPr="00790C6C">
        <w:rPr>
          <w:rFonts w:cs="Arial"/>
          <w:sz w:val="20"/>
          <w:szCs w:val="20"/>
          <w:lang w:val="en-US" w:eastAsia="en-GB"/>
        </w:rPr>
        <w:t>the United Nations</w:t>
      </w:r>
      <w:r>
        <w:rPr>
          <w:rFonts w:cs="Arial"/>
          <w:sz w:val="20"/>
          <w:szCs w:val="20"/>
          <w:lang w:val="en-US" w:eastAsia="en-GB"/>
        </w:rPr>
        <w:t xml:space="preserve"> </w:t>
      </w:r>
      <w:r w:rsidRPr="00790C6C">
        <w:rPr>
          <w:rFonts w:cs="Arial"/>
          <w:sz w:val="20"/>
          <w:szCs w:val="20"/>
          <w:lang w:val="en-US" w:eastAsia="en-GB"/>
        </w:rPr>
        <w:t>“Protect, Respect and</w:t>
      </w:r>
      <w:r>
        <w:rPr>
          <w:rFonts w:cs="Arial"/>
          <w:sz w:val="20"/>
          <w:szCs w:val="20"/>
          <w:lang w:val="en-US" w:eastAsia="en-GB"/>
        </w:rPr>
        <w:t xml:space="preserve"> </w:t>
      </w:r>
      <w:r w:rsidRPr="00790C6C">
        <w:rPr>
          <w:rFonts w:cs="Arial"/>
          <w:sz w:val="20"/>
          <w:szCs w:val="20"/>
          <w:lang w:val="en-US" w:eastAsia="en-GB"/>
        </w:rPr>
        <w:t xml:space="preserve">Remedy” Framework </w:t>
      </w:r>
      <w:r>
        <w:rPr>
          <w:rFonts w:cs="Arial"/>
          <w:sz w:val="20"/>
          <w:szCs w:val="20"/>
          <w:lang w:val="en-US" w:eastAsia="en-GB"/>
        </w:rPr>
        <w:t>pub by</w:t>
      </w:r>
      <w:r w:rsidRPr="00790C6C">
        <w:rPr>
          <w:rFonts w:cs="Arial"/>
          <w:sz w:val="20"/>
          <w:szCs w:val="20"/>
          <w:lang w:val="en-US" w:eastAsia="en-GB"/>
        </w:rPr>
        <w:t xml:space="preserve"> OHCHR </w:t>
      </w:r>
      <w:hyperlink r:id="rId9" w:history="1">
        <w:r w:rsidRPr="00790C6C">
          <w:rPr>
            <w:rStyle w:val="Hyperlink"/>
            <w:rFonts w:cs="Arial"/>
            <w:color w:val="auto"/>
            <w:sz w:val="20"/>
            <w:szCs w:val="20"/>
            <w:lang w:val="en-US" w:eastAsia="en-GB"/>
          </w:rPr>
          <w:t>http://www.ohchr.org/Documents/Publications/GuidingPrinciplesBusinessHR_EN.pdf</w:t>
        </w:r>
      </w:hyperlink>
      <w:r>
        <w:rPr>
          <w:rFonts w:ascii="FuturaStd-Heavy" w:hAnsi="FuturaStd-Heavy" w:cs="FuturaStd-Heavy"/>
          <w:sz w:val="30"/>
          <w:szCs w:val="30"/>
          <w:lang w:val="en-US" w:eastAsia="en-GB"/>
        </w:rPr>
        <w:t xml:space="preserve"> </w:t>
      </w:r>
    </w:p>
  </w:footnote>
  <w:footnote w:id="18">
    <w:p w:rsidR="007160A6" w:rsidRDefault="007160A6" w:rsidP="00346B7D">
      <w:pPr>
        <w:pStyle w:val="FootnoteText"/>
      </w:pPr>
      <w:r>
        <w:rPr>
          <w:rStyle w:val="FootnoteReference"/>
        </w:rPr>
        <w:footnoteRef/>
      </w:r>
      <w:r>
        <w:t xml:space="preserve"> For example, see Section 5 of the Act </w:t>
      </w:r>
      <w:hyperlink r:id="rId10" w:history="1">
        <w:r w:rsidRPr="0005506A">
          <w:rPr>
            <w:rStyle w:val="Hyperlink"/>
          </w:rPr>
          <w:t>http://www.legislation.gov.uk/asp/2003/17/contents</w:t>
        </w:r>
      </w:hyperlink>
      <w:r>
        <w:t xml:space="preserve"> </w:t>
      </w:r>
    </w:p>
  </w:footnote>
  <w:footnote w:id="19">
    <w:p w:rsidR="007160A6" w:rsidRDefault="007160A6" w:rsidP="00346B7D">
      <w:pPr>
        <w:pStyle w:val="FootnoteText"/>
      </w:pPr>
      <w:r>
        <w:rPr>
          <w:rStyle w:val="FootnoteReference"/>
        </w:rPr>
        <w:footnoteRef/>
      </w:r>
      <w:r>
        <w:t xml:space="preserve"> Section 2 (2)(b) Scottish Commission for Human Rights Act 2006 </w:t>
      </w:r>
      <w:hyperlink r:id="rId11" w:history="1">
        <w:r w:rsidRPr="0005506A">
          <w:rPr>
            <w:rStyle w:val="Hyperlink"/>
          </w:rPr>
          <w:t>http://www.legislation.gov.uk/asp/2006/16/section/2</w:t>
        </w:r>
      </w:hyperlink>
      <w:r>
        <w:t xml:space="preserve"> </w:t>
      </w:r>
    </w:p>
  </w:footnote>
  <w:footnote w:id="20">
    <w:p w:rsidR="007160A6" w:rsidRDefault="007160A6">
      <w:pPr>
        <w:pStyle w:val="FootnoteText"/>
      </w:pPr>
      <w:r>
        <w:rPr>
          <w:rStyle w:val="FootnoteReference"/>
        </w:rPr>
        <w:footnoteRef/>
      </w:r>
      <w:r>
        <w:t xml:space="preserve"> International Covenant on Civil and Political Rights</w:t>
      </w:r>
    </w:p>
  </w:footnote>
  <w:footnote w:id="21">
    <w:p w:rsidR="007160A6" w:rsidRDefault="007160A6" w:rsidP="006C2F66">
      <w:pPr>
        <w:pStyle w:val="FootnoteText"/>
      </w:pPr>
      <w:r>
        <w:rPr>
          <w:rStyle w:val="FootnoteReference"/>
        </w:rPr>
        <w:footnoteRef/>
      </w:r>
      <w:r>
        <w:t xml:space="preserve"> Available on GB EHRC website </w:t>
      </w:r>
      <w:hyperlink r:id="rId12" w:history="1">
        <w:r w:rsidRPr="0005506A">
          <w:rPr>
            <w:rStyle w:val="Hyperlink"/>
          </w:rPr>
          <w:t>https://www.equalityhumanrights.com/en/advice-and-guidance/guidance-social-housing-providers</w:t>
        </w:r>
      </w:hyperlink>
      <w:r>
        <w:t xml:space="preserve"> </w:t>
      </w:r>
    </w:p>
  </w:footnote>
  <w:footnote w:id="22">
    <w:p w:rsidR="007160A6" w:rsidRDefault="007160A6" w:rsidP="006C2F66">
      <w:pPr>
        <w:pStyle w:val="FootnoteText"/>
      </w:pPr>
      <w:r>
        <w:rPr>
          <w:rStyle w:val="FootnoteReference"/>
        </w:rPr>
        <w:footnoteRef/>
      </w:r>
      <w:r>
        <w:t xml:space="preserve"> The full text is available at the Council of Europe Website </w:t>
      </w:r>
      <w:hyperlink r:id="rId13" w:history="1">
        <w:r w:rsidRPr="00E81B2C">
          <w:rPr>
            <w:rStyle w:val="Hyperlink"/>
          </w:rPr>
          <w:t>http://www.echr.coe.int/Documents/Convention_ENG.pdf</w:t>
        </w:r>
      </w:hyperlink>
      <w:r>
        <w:t xml:space="preserve"> </w:t>
      </w:r>
    </w:p>
  </w:footnote>
  <w:footnote w:id="23">
    <w:p w:rsidR="007160A6" w:rsidRDefault="007160A6" w:rsidP="00744FAA">
      <w:pPr>
        <w:pStyle w:val="FootnoteText"/>
      </w:pPr>
      <w:r>
        <w:rPr>
          <w:rStyle w:val="FootnoteReference"/>
        </w:rPr>
        <w:footnoteRef/>
      </w:r>
      <w:r>
        <w:t xml:space="preserve"> Article 14 is not a standalone right bit must be partnered with another right.</w:t>
      </w:r>
    </w:p>
  </w:footnote>
  <w:footnote w:id="24">
    <w:p w:rsidR="007160A6" w:rsidRDefault="007160A6" w:rsidP="00FF347F">
      <w:pPr>
        <w:pStyle w:val="FootnoteText"/>
      </w:pPr>
      <w:r>
        <w:rPr>
          <w:rStyle w:val="FootnoteReference"/>
        </w:rPr>
        <w:footnoteRef/>
      </w:r>
      <w:r>
        <w:t xml:space="preserve"> Speech by FM on 9</w:t>
      </w:r>
      <w:r w:rsidRPr="00AC3576">
        <w:rPr>
          <w:vertAlign w:val="superscript"/>
        </w:rPr>
        <w:t>th</w:t>
      </w:r>
      <w:r>
        <w:t xml:space="preserve"> December 2015.</w:t>
      </w:r>
    </w:p>
  </w:footnote>
  <w:footnote w:id="25">
    <w:p w:rsidR="007160A6" w:rsidRDefault="007160A6" w:rsidP="00FF347F">
      <w:pPr>
        <w:pStyle w:val="FootnoteText"/>
      </w:pPr>
      <w:r>
        <w:rPr>
          <w:rStyle w:val="FootnoteReference"/>
        </w:rPr>
        <w:footnoteRef/>
      </w:r>
      <w:r>
        <w:t xml:space="preserve"> See Scottish Parliament website </w:t>
      </w:r>
      <w:hyperlink r:id="rId14" w:history="1">
        <w:r w:rsidRPr="0005506A">
          <w:rPr>
            <w:rStyle w:val="Hyperlink"/>
          </w:rPr>
          <w:t>http://www.parliament.scot/parliamentarybusiness/CurrentCommittees/Equalities-Human-Rights-Committee.aspx</w:t>
        </w:r>
      </w:hyperlink>
      <w:r>
        <w:t xml:space="preserve"> </w:t>
      </w:r>
    </w:p>
  </w:footnote>
  <w:footnote w:id="26">
    <w:p w:rsidR="007160A6" w:rsidRDefault="007160A6">
      <w:pPr>
        <w:pStyle w:val="FootnoteText"/>
      </w:pPr>
      <w:r>
        <w:rPr>
          <w:rStyle w:val="FootnoteReference"/>
        </w:rPr>
        <w:footnoteRef/>
      </w:r>
      <w:r>
        <w:t xml:space="preserve"> Go to SHRC website </w:t>
      </w:r>
      <w:hyperlink r:id="rId15" w:history="1">
        <w:r w:rsidRPr="00C42B22">
          <w:rPr>
            <w:rStyle w:val="Hyperlink"/>
          </w:rPr>
          <w:t>http://www.snaprights.info/what-is-snap</w:t>
        </w:r>
      </w:hyperlink>
      <w:r>
        <w:t xml:space="preserve"> </w:t>
      </w:r>
    </w:p>
    <w:p w:rsidR="007160A6" w:rsidRDefault="007160A6">
      <w:pPr>
        <w:pStyle w:val="FootnoteText"/>
      </w:pPr>
    </w:p>
  </w:footnote>
  <w:footnote w:id="27">
    <w:p w:rsidR="007160A6" w:rsidRDefault="007160A6" w:rsidP="00B906B3">
      <w:pPr>
        <w:spacing w:after="0" w:line="240" w:lineRule="auto"/>
      </w:pPr>
      <w:r>
        <w:rPr>
          <w:rStyle w:val="FootnoteReference"/>
        </w:rPr>
        <w:footnoteRef/>
      </w:r>
      <w:r>
        <w:t xml:space="preserve"> </w:t>
      </w:r>
      <w:r w:rsidRPr="00772295">
        <w:rPr>
          <w:sz w:val="20"/>
          <w:szCs w:val="20"/>
        </w:rPr>
        <w:t xml:space="preserve">For more information see </w:t>
      </w:r>
      <w:hyperlink r:id="rId16" w:history="1">
        <w:r w:rsidRPr="00772295">
          <w:rPr>
            <w:rStyle w:val="Hyperlink"/>
            <w:sz w:val="20"/>
            <w:szCs w:val="20"/>
          </w:rPr>
          <w:t>https://www.cfoi.org.uk/scotland/</w:t>
        </w:r>
      </w:hyperlink>
      <w:r>
        <w:rPr>
          <w:sz w:val="20"/>
          <w:szCs w:val="20"/>
        </w:rPr>
        <w:t xml:space="preserve"> </w:t>
      </w:r>
    </w:p>
  </w:footnote>
  <w:footnote w:id="28">
    <w:p w:rsidR="007160A6" w:rsidRDefault="007160A6" w:rsidP="00B906B3">
      <w:pPr>
        <w:pStyle w:val="FootnoteText"/>
      </w:pPr>
      <w:r>
        <w:rPr>
          <w:rStyle w:val="FootnoteReference"/>
        </w:rPr>
        <w:footnoteRef/>
      </w:r>
      <w:r>
        <w:t xml:space="preserve"> More detailed analysis is provided in the OSIC Report ‘</w:t>
      </w:r>
      <w:r w:rsidRPr="007B2457">
        <w:t>FOI 10 years on: Are the right organisations covered?</w:t>
      </w:r>
      <w:r>
        <w:t xml:space="preserve"> available at </w:t>
      </w:r>
      <w:hyperlink r:id="rId17" w:history="1">
        <w:r w:rsidRPr="00EF7425">
          <w:rPr>
            <w:rStyle w:val="Hyperlink"/>
          </w:rPr>
          <w:t>file:///C:/Users/Agnes/AppData/Local/Microsoft/Windows/INetCache/IE/R0L7MN7K/Special_Report_10_Years_On.pdf</w:t>
        </w:r>
      </w:hyperlink>
      <w:r>
        <w:t xml:space="preserve"> </w:t>
      </w:r>
    </w:p>
  </w:footnote>
  <w:footnote w:id="29">
    <w:p w:rsidR="007160A6" w:rsidRDefault="007160A6" w:rsidP="00B906B3">
      <w:pPr>
        <w:pStyle w:val="FootnoteText"/>
      </w:pPr>
      <w:r>
        <w:rPr>
          <w:rStyle w:val="FootnoteReference"/>
        </w:rPr>
        <w:footnoteRef/>
      </w:r>
      <w:r>
        <w:t xml:space="preserve"> SPIF is included in the Scottish Government’s Six FoI Principles</w:t>
      </w:r>
    </w:p>
  </w:footnote>
  <w:footnote w:id="30">
    <w:p w:rsidR="007160A6" w:rsidRDefault="007160A6" w:rsidP="00B906B3">
      <w:pPr>
        <w:pStyle w:val="FootnoteText"/>
      </w:pPr>
      <w:r>
        <w:rPr>
          <w:rStyle w:val="FootnoteReference"/>
        </w:rPr>
        <w:footnoteRef/>
      </w:r>
      <w:r>
        <w:t xml:space="preserve"> The EIR does not operate the scheduled/list system and therefore there is already a “function” dimension in existence in Scotland.</w:t>
      </w:r>
    </w:p>
  </w:footnote>
  <w:footnote w:id="31">
    <w:p w:rsidR="007160A6" w:rsidRDefault="007160A6" w:rsidP="00B906B3">
      <w:pPr>
        <w:pStyle w:val="FootnoteText"/>
      </w:pPr>
      <w:r>
        <w:rPr>
          <w:rStyle w:val="FootnoteReference"/>
        </w:rPr>
        <w:footnoteRef/>
      </w:r>
      <w:r>
        <w:t xml:space="preserve"> See 2015 </w:t>
      </w:r>
      <w:r w:rsidRPr="0097773C">
        <w:rPr>
          <w:rFonts w:cs="Arial"/>
          <w:color w:val="000000"/>
        </w:rPr>
        <w:t xml:space="preserve">consultation </w:t>
      </w:r>
      <w:r>
        <w:rPr>
          <w:rFonts w:cs="Arial"/>
          <w:color w:val="000000"/>
        </w:rPr>
        <w:t>on</w:t>
      </w:r>
      <w:r w:rsidRPr="0097773C">
        <w:rPr>
          <w:rFonts w:cs="Arial"/>
          <w:color w:val="000000"/>
        </w:rPr>
        <w:t xml:space="preserve"> the Scottish Government website </w:t>
      </w:r>
      <w:hyperlink r:id="rId18" w:history="1">
        <w:r w:rsidRPr="0097773C">
          <w:rPr>
            <w:rStyle w:val="Hyperlink"/>
            <w:rFonts w:cs="Arial"/>
          </w:rPr>
          <w:t>http://www.gov.scot/About/Information/FOI/Coverage</w:t>
        </w:r>
      </w:hyperlink>
      <w:r>
        <w:rPr>
          <w:rStyle w:val="Hyperlink"/>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0A6" w:rsidRDefault="007160A6">
    <w:pPr>
      <w:pStyle w:val="Header"/>
    </w:pPr>
    <w:r>
      <w:t>17</w:t>
    </w:r>
    <w:r w:rsidRPr="002E5365">
      <w:rPr>
        <w:vertAlign w:val="superscript"/>
      </w:rPr>
      <w:t>th</w:t>
    </w:r>
    <w:r>
      <w:t xml:space="preserve"> February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6E36"/>
    <w:multiLevelType w:val="multilevel"/>
    <w:tmpl w:val="A04282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85417"/>
    <w:multiLevelType w:val="hybridMultilevel"/>
    <w:tmpl w:val="7F5425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81E7E"/>
    <w:multiLevelType w:val="multilevel"/>
    <w:tmpl w:val="29F870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EA7FE6"/>
    <w:multiLevelType w:val="hybridMultilevel"/>
    <w:tmpl w:val="E278B2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E4002"/>
    <w:multiLevelType w:val="hybridMultilevel"/>
    <w:tmpl w:val="7E1212E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736DA"/>
    <w:multiLevelType w:val="hybridMultilevel"/>
    <w:tmpl w:val="3C2E1E5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782F641C"/>
    <w:multiLevelType w:val="hybridMultilevel"/>
    <w:tmpl w:val="9EF4A5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08E4"/>
    <w:rsid w:val="0000069D"/>
    <w:rsid w:val="0002121F"/>
    <w:rsid w:val="000324D3"/>
    <w:rsid w:val="00036159"/>
    <w:rsid w:val="00043712"/>
    <w:rsid w:val="00052154"/>
    <w:rsid w:val="0008625D"/>
    <w:rsid w:val="000C1CFA"/>
    <w:rsid w:val="000D2B4A"/>
    <w:rsid w:val="000D65CF"/>
    <w:rsid w:val="001055B9"/>
    <w:rsid w:val="00150B2B"/>
    <w:rsid w:val="00152FC4"/>
    <w:rsid w:val="00171A12"/>
    <w:rsid w:val="001812EB"/>
    <w:rsid w:val="001869CB"/>
    <w:rsid w:val="001B36E5"/>
    <w:rsid w:val="001D3D1E"/>
    <w:rsid w:val="001E673E"/>
    <w:rsid w:val="001E7F7D"/>
    <w:rsid w:val="00201EBC"/>
    <w:rsid w:val="00203A67"/>
    <w:rsid w:val="002054BE"/>
    <w:rsid w:val="0021072F"/>
    <w:rsid w:val="002641FE"/>
    <w:rsid w:val="002675DD"/>
    <w:rsid w:val="00270D85"/>
    <w:rsid w:val="00293544"/>
    <w:rsid w:val="002B14A0"/>
    <w:rsid w:val="002B41AC"/>
    <w:rsid w:val="002E5365"/>
    <w:rsid w:val="00311445"/>
    <w:rsid w:val="00320EC2"/>
    <w:rsid w:val="00331BC8"/>
    <w:rsid w:val="00342EE6"/>
    <w:rsid w:val="00346B7D"/>
    <w:rsid w:val="00350258"/>
    <w:rsid w:val="00366B8B"/>
    <w:rsid w:val="00377F32"/>
    <w:rsid w:val="003903E2"/>
    <w:rsid w:val="003A2778"/>
    <w:rsid w:val="003A290C"/>
    <w:rsid w:val="003A59E5"/>
    <w:rsid w:val="003C4435"/>
    <w:rsid w:val="003C5B93"/>
    <w:rsid w:val="003D0F29"/>
    <w:rsid w:val="003F309E"/>
    <w:rsid w:val="003F66B4"/>
    <w:rsid w:val="0041401D"/>
    <w:rsid w:val="00457929"/>
    <w:rsid w:val="00461E4F"/>
    <w:rsid w:val="004B7624"/>
    <w:rsid w:val="004D423B"/>
    <w:rsid w:val="00545125"/>
    <w:rsid w:val="005465C5"/>
    <w:rsid w:val="00546DAD"/>
    <w:rsid w:val="00551456"/>
    <w:rsid w:val="00554DDC"/>
    <w:rsid w:val="0056091F"/>
    <w:rsid w:val="00564741"/>
    <w:rsid w:val="005655C8"/>
    <w:rsid w:val="00572938"/>
    <w:rsid w:val="00577EDD"/>
    <w:rsid w:val="005803B8"/>
    <w:rsid w:val="005921B5"/>
    <w:rsid w:val="005D3E8B"/>
    <w:rsid w:val="005E74E6"/>
    <w:rsid w:val="0061112B"/>
    <w:rsid w:val="006217E7"/>
    <w:rsid w:val="00650B66"/>
    <w:rsid w:val="0066343B"/>
    <w:rsid w:val="00665BD0"/>
    <w:rsid w:val="00666050"/>
    <w:rsid w:val="00667A98"/>
    <w:rsid w:val="00674B27"/>
    <w:rsid w:val="00680348"/>
    <w:rsid w:val="006B02D7"/>
    <w:rsid w:val="006C2F66"/>
    <w:rsid w:val="006E77F8"/>
    <w:rsid w:val="006F05D1"/>
    <w:rsid w:val="006F52F8"/>
    <w:rsid w:val="006F7ABC"/>
    <w:rsid w:val="00705A14"/>
    <w:rsid w:val="007160A6"/>
    <w:rsid w:val="00716972"/>
    <w:rsid w:val="00740BD5"/>
    <w:rsid w:val="00744FAA"/>
    <w:rsid w:val="007623ED"/>
    <w:rsid w:val="00770CA1"/>
    <w:rsid w:val="00772295"/>
    <w:rsid w:val="0077531A"/>
    <w:rsid w:val="00790C6C"/>
    <w:rsid w:val="007B2457"/>
    <w:rsid w:val="007D0236"/>
    <w:rsid w:val="007E65E5"/>
    <w:rsid w:val="007E6922"/>
    <w:rsid w:val="007F7833"/>
    <w:rsid w:val="008102B3"/>
    <w:rsid w:val="008145BF"/>
    <w:rsid w:val="00821902"/>
    <w:rsid w:val="00822F96"/>
    <w:rsid w:val="00824627"/>
    <w:rsid w:val="008279D6"/>
    <w:rsid w:val="008301C1"/>
    <w:rsid w:val="00842FC5"/>
    <w:rsid w:val="00870B00"/>
    <w:rsid w:val="008B0D92"/>
    <w:rsid w:val="008C7B44"/>
    <w:rsid w:val="008D273A"/>
    <w:rsid w:val="008E22A8"/>
    <w:rsid w:val="008E3853"/>
    <w:rsid w:val="008E5868"/>
    <w:rsid w:val="0090128B"/>
    <w:rsid w:val="009113B2"/>
    <w:rsid w:val="0091625D"/>
    <w:rsid w:val="009267D5"/>
    <w:rsid w:val="00945D79"/>
    <w:rsid w:val="0096270D"/>
    <w:rsid w:val="00971F32"/>
    <w:rsid w:val="009728E7"/>
    <w:rsid w:val="00977072"/>
    <w:rsid w:val="00982BA7"/>
    <w:rsid w:val="00993FF7"/>
    <w:rsid w:val="009A0EAE"/>
    <w:rsid w:val="009D36C6"/>
    <w:rsid w:val="009D76B4"/>
    <w:rsid w:val="009E4DF5"/>
    <w:rsid w:val="009E6AC5"/>
    <w:rsid w:val="009F28A5"/>
    <w:rsid w:val="00A029AF"/>
    <w:rsid w:val="00A153C3"/>
    <w:rsid w:val="00A15EFA"/>
    <w:rsid w:val="00A169D4"/>
    <w:rsid w:val="00A2425B"/>
    <w:rsid w:val="00A67F1F"/>
    <w:rsid w:val="00A715E9"/>
    <w:rsid w:val="00A71721"/>
    <w:rsid w:val="00A71C97"/>
    <w:rsid w:val="00A9241F"/>
    <w:rsid w:val="00A92471"/>
    <w:rsid w:val="00A931DC"/>
    <w:rsid w:val="00AA13A8"/>
    <w:rsid w:val="00AC07B2"/>
    <w:rsid w:val="00AC0BEE"/>
    <w:rsid w:val="00AC4A0C"/>
    <w:rsid w:val="00AD5ECB"/>
    <w:rsid w:val="00AE62D9"/>
    <w:rsid w:val="00AF5F41"/>
    <w:rsid w:val="00B07868"/>
    <w:rsid w:val="00B1108F"/>
    <w:rsid w:val="00B22F76"/>
    <w:rsid w:val="00B33214"/>
    <w:rsid w:val="00B457E6"/>
    <w:rsid w:val="00B575B0"/>
    <w:rsid w:val="00B65F87"/>
    <w:rsid w:val="00B82419"/>
    <w:rsid w:val="00B84C00"/>
    <w:rsid w:val="00B906B3"/>
    <w:rsid w:val="00B94EF9"/>
    <w:rsid w:val="00B9522B"/>
    <w:rsid w:val="00BA1784"/>
    <w:rsid w:val="00BA3EF5"/>
    <w:rsid w:val="00BA5C58"/>
    <w:rsid w:val="00BB333F"/>
    <w:rsid w:val="00BC7367"/>
    <w:rsid w:val="00BE753D"/>
    <w:rsid w:val="00C0473C"/>
    <w:rsid w:val="00C3466F"/>
    <w:rsid w:val="00C63281"/>
    <w:rsid w:val="00C91891"/>
    <w:rsid w:val="00C96A43"/>
    <w:rsid w:val="00CB6593"/>
    <w:rsid w:val="00CF0639"/>
    <w:rsid w:val="00CF3597"/>
    <w:rsid w:val="00D36732"/>
    <w:rsid w:val="00D47F70"/>
    <w:rsid w:val="00D60A63"/>
    <w:rsid w:val="00D923DB"/>
    <w:rsid w:val="00DA5C93"/>
    <w:rsid w:val="00DC7970"/>
    <w:rsid w:val="00DE1C1D"/>
    <w:rsid w:val="00DF61CB"/>
    <w:rsid w:val="00E01402"/>
    <w:rsid w:val="00E336DE"/>
    <w:rsid w:val="00E60709"/>
    <w:rsid w:val="00E76231"/>
    <w:rsid w:val="00E77D46"/>
    <w:rsid w:val="00E848BB"/>
    <w:rsid w:val="00EA499E"/>
    <w:rsid w:val="00EA7D91"/>
    <w:rsid w:val="00ED4913"/>
    <w:rsid w:val="00ED6462"/>
    <w:rsid w:val="00EE2E54"/>
    <w:rsid w:val="00F01FCF"/>
    <w:rsid w:val="00F05D9E"/>
    <w:rsid w:val="00F23744"/>
    <w:rsid w:val="00F32891"/>
    <w:rsid w:val="00F362FF"/>
    <w:rsid w:val="00F36782"/>
    <w:rsid w:val="00F40F6C"/>
    <w:rsid w:val="00F50BAE"/>
    <w:rsid w:val="00F77275"/>
    <w:rsid w:val="00F86325"/>
    <w:rsid w:val="00F930A7"/>
    <w:rsid w:val="00F934B5"/>
    <w:rsid w:val="00FB08E4"/>
    <w:rsid w:val="00FD644B"/>
    <w:rsid w:val="00FF347F"/>
    <w:rsid w:val="00FF5473"/>
    <w:rsid w:val="00FF74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8697"/>
  <w15:docId w15:val="{75C6A5B8-3536-4754-B3B8-7370CC3A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1F32"/>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8E4"/>
    <w:rPr>
      <w:rFonts w:ascii="Times New Roman" w:hAnsi="Times New Roman"/>
      <w:szCs w:val="24"/>
    </w:rPr>
  </w:style>
  <w:style w:type="paragraph" w:styleId="EndnoteText">
    <w:name w:val="endnote text"/>
    <w:basedOn w:val="Normal"/>
    <w:link w:val="EndnoteTextChar"/>
    <w:uiPriority w:val="99"/>
    <w:unhideWhenUsed/>
    <w:rsid w:val="008145BF"/>
    <w:pPr>
      <w:spacing w:after="0" w:line="240" w:lineRule="auto"/>
    </w:pPr>
    <w:rPr>
      <w:sz w:val="20"/>
      <w:szCs w:val="20"/>
    </w:rPr>
  </w:style>
  <w:style w:type="character" w:customStyle="1" w:styleId="EndnoteTextChar">
    <w:name w:val="Endnote Text Char"/>
    <w:link w:val="EndnoteText"/>
    <w:uiPriority w:val="99"/>
    <w:rsid w:val="008145BF"/>
    <w:rPr>
      <w:sz w:val="20"/>
      <w:szCs w:val="20"/>
    </w:rPr>
  </w:style>
  <w:style w:type="character" w:styleId="EndnoteReference">
    <w:name w:val="endnote reference"/>
    <w:uiPriority w:val="99"/>
    <w:semiHidden/>
    <w:unhideWhenUsed/>
    <w:rsid w:val="008145BF"/>
    <w:rPr>
      <w:vertAlign w:val="superscript"/>
    </w:rPr>
  </w:style>
  <w:style w:type="paragraph" w:styleId="FootnoteText">
    <w:name w:val="footnote text"/>
    <w:aliases w:val="5_G"/>
    <w:basedOn w:val="Normal"/>
    <w:link w:val="FootnoteTextChar"/>
    <w:unhideWhenUsed/>
    <w:rsid w:val="008145BF"/>
    <w:pPr>
      <w:spacing w:after="0" w:line="240" w:lineRule="auto"/>
    </w:pPr>
    <w:rPr>
      <w:sz w:val="20"/>
      <w:szCs w:val="20"/>
    </w:rPr>
  </w:style>
  <w:style w:type="character" w:customStyle="1" w:styleId="FootnoteTextChar">
    <w:name w:val="Footnote Text Char"/>
    <w:aliases w:val="5_G Char"/>
    <w:link w:val="FootnoteText"/>
    <w:rsid w:val="008145BF"/>
    <w:rPr>
      <w:sz w:val="20"/>
      <w:szCs w:val="20"/>
    </w:rPr>
  </w:style>
  <w:style w:type="character" w:styleId="FootnoteReference">
    <w:name w:val="footnote reference"/>
    <w:unhideWhenUsed/>
    <w:rsid w:val="008145BF"/>
    <w:rPr>
      <w:vertAlign w:val="superscript"/>
    </w:rPr>
  </w:style>
  <w:style w:type="character" w:styleId="Hyperlink">
    <w:name w:val="Hyperlink"/>
    <w:uiPriority w:val="99"/>
    <w:unhideWhenUsed/>
    <w:rsid w:val="008145BF"/>
    <w:rPr>
      <w:color w:val="0563C1"/>
      <w:u w:val="single"/>
    </w:rPr>
  </w:style>
  <w:style w:type="paragraph" w:styleId="ListParagraph">
    <w:name w:val="List Paragraph"/>
    <w:basedOn w:val="Normal"/>
    <w:uiPriority w:val="34"/>
    <w:qFormat/>
    <w:rsid w:val="00554DDC"/>
    <w:pPr>
      <w:ind w:left="720"/>
      <w:contextualSpacing/>
    </w:pPr>
  </w:style>
  <w:style w:type="paragraph" w:customStyle="1" w:styleId="Default">
    <w:name w:val="Default"/>
    <w:rsid w:val="00554DDC"/>
    <w:pPr>
      <w:autoSpaceDE w:val="0"/>
      <w:autoSpaceDN w:val="0"/>
      <w:adjustRightInd w:val="0"/>
    </w:pPr>
    <w:rPr>
      <w:rFonts w:cs="Arial"/>
      <w:color w:val="000000"/>
      <w:sz w:val="24"/>
      <w:szCs w:val="24"/>
      <w:lang w:eastAsia="en-US"/>
    </w:rPr>
  </w:style>
  <w:style w:type="paragraph" w:styleId="Header">
    <w:name w:val="header"/>
    <w:basedOn w:val="Normal"/>
    <w:link w:val="HeaderChar"/>
    <w:uiPriority w:val="99"/>
    <w:unhideWhenUsed/>
    <w:rsid w:val="0081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B3"/>
  </w:style>
  <w:style w:type="paragraph" w:styleId="Footer">
    <w:name w:val="footer"/>
    <w:basedOn w:val="Normal"/>
    <w:link w:val="FooterChar"/>
    <w:uiPriority w:val="99"/>
    <w:unhideWhenUsed/>
    <w:rsid w:val="0081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B3"/>
  </w:style>
  <w:style w:type="paragraph" w:styleId="BalloonText">
    <w:name w:val="Balloon Text"/>
    <w:basedOn w:val="Normal"/>
    <w:link w:val="BalloonTextChar"/>
    <w:uiPriority w:val="99"/>
    <w:semiHidden/>
    <w:unhideWhenUsed/>
    <w:rsid w:val="00D36732"/>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D36732"/>
    <w:rPr>
      <w:rFonts w:ascii="Times New Roman" w:hAnsi="Times New Roman" w:cs="Times New Roman"/>
      <w:sz w:val="18"/>
      <w:szCs w:val="18"/>
    </w:rPr>
  </w:style>
  <w:style w:type="character" w:styleId="CommentReference">
    <w:name w:val="annotation reference"/>
    <w:uiPriority w:val="99"/>
    <w:semiHidden/>
    <w:unhideWhenUsed/>
    <w:rsid w:val="00716972"/>
    <w:rPr>
      <w:sz w:val="18"/>
      <w:szCs w:val="18"/>
    </w:rPr>
  </w:style>
  <w:style w:type="paragraph" w:styleId="CommentText">
    <w:name w:val="annotation text"/>
    <w:basedOn w:val="Normal"/>
    <w:link w:val="CommentTextChar"/>
    <w:uiPriority w:val="99"/>
    <w:unhideWhenUsed/>
    <w:rsid w:val="00716972"/>
    <w:pPr>
      <w:spacing w:line="240" w:lineRule="auto"/>
    </w:pPr>
    <w:rPr>
      <w:szCs w:val="24"/>
    </w:rPr>
  </w:style>
  <w:style w:type="character" w:customStyle="1" w:styleId="CommentTextChar">
    <w:name w:val="Comment Text Char"/>
    <w:link w:val="CommentText"/>
    <w:uiPriority w:val="99"/>
    <w:rsid w:val="00716972"/>
    <w:rPr>
      <w:szCs w:val="24"/>
    </w:rPr>
  </w:style>
  <w:style w:type="paragraph" w:styleId="CommentSubject">
    <w:name w:val="annotation subject"/>
    <w:basedOn w:val="CommentText"/>
    <w:next w:val="CommentText"/>
    <w:link w:val="CommentSubjectChar"/>
    <w:uiPriority w:val="99"/>
    <w:semiHidden/>
    <w:unhideWhenUsed/>
    <w:rsid w:val="00716972"/>
    <w:rPr>
      <w:b/>
      <w:bCs/>
      <w:sz w:val="20"/>
      <w:szCs w:val="20"/>
    </w:rPr>
  </w:style>
  <w:style w:type="character" w:customStyle="1" w:styleId="CommentSubjectChar">
    <w:name w:val="Comment Subject Char"/>
    <w:link w:val="CommentSubject"/>
    <w:uiPriority w:val="99"/>
    <w:semiHidden/>
    <w:rsid w:val="00716972"/>
    <w:rPr>
      <w:b/>
      <w:bCs/>
      <w:sz w:val="20"/>
      <w:szCs w:val="20"/>
    </w:rPr>
  </w:style>
  <w:style w:type="paragraph" w:styleId="Revision">
    <w:name w:val="Revision"/>
    <w:hidden/>
    <w:uiPriority w:val="99"/>
    <w:semiHidden/>
    <w:rsid w:val="009F28A5"/>
    <w:rPr>
      <w:sz w:val="24"/>
      <w:szCs w:val="22"/>
      <w:lang w:eastAsia="en-US"/>
    </w:rPr>
  </w:style>
  <w:style w:type="character" w:customStyle="1" w:styleId="legterm">
    <w:name w:val="legterm"/>
    <w:basedOn w:val="DefaultParagraphFont"/>
    <w:rsid w:val="00B94EF9"/>
  </w:style>
  <w:style w:type="character" w:styleId="FollowedHyperlink">
    <w:name w:val="FollowedHyperlink"/>
    <w:uiPriority w:val="99"/>
    <w:semiHidden/>
    <w:unhideWhenUsed/>
    <w:rsid w:val="00A9241F"/>
    <w:rPr>
      <w:color w:val="954F72"/>
      <w:u w:val="single"/>
    </w:rPr>
  </w:style>
  <w:style w:type="paragraph" w:customStyle="1" w:styleId="FreeForm">
    <w:name w:val="Free Form"/>
    <w:rsid w:val="003F309E"/>
    <w:rPr>
      <w:rFonts w:eastAsia="ヒラギノ角ゴ Pro W3"/>
      <w:noProof/>
      <w:color w:val="000000"/>
      <w:sz w:val="24"/>
      <w:lang w:eastAsia="en-US"/>
    </w:rPr>
  </w:style>
  <w:style w:type="paragraph" w:customStyle="1" w:styleId="BodyA">
    <w:name w:val="Body A"/>
    <w:rsid w:val="003F309E"/>
    <w:rPr>
      <w:rFonts w:ascii="Helvetica" w:eastAsia="ヒラギノ角ゴ Pro W3" w:hAnsi="Helvetica"/>
      <w:noProof/>
      <w:color w:val="000000"/>
      <w:sz w:val="24"/>
      <w:lang w:eastAsia="en-US"/>
    </w:rPr>
  </w:style>
  <w:style w:type="character" w:customStyle="1" w:styleId="st1">
    <w:name w:val="st1"/>
    <w:basedOn w:val="DefaultParagraphFont"/>
    <w:rsid w:val="007F7833"/>
  </w:style>
  <w:style w:type="character" w:customStyle="1" w:styleId="legds2">
    <w:name w:val="legds2"/>
    <w:basedOn w:val="DefaultParagraphFont"/>
    <w:rsid w:val="00BA1784"/>
    <w:rPr>
      <w:vanish w:val="0"/>
      <w:webHidden w:val="0"/>
      <w:specVanish w:val="0"/>
    </w:rPr>
  </w:style>
  <w:style w:type="character" w:customStyle="1" w:styleId="s7d2086b4">
    <w:name w:val="s7d2086b4"/>
    <w:basedOn w:val="DefaultParagraphFont"/>
    <w:rsid w:val="00346B7D"/>
  </w:style>
  <w:style w:type="character" w:styleId="Emphasis">
    <w:name w:val="Emphasis"/>
    <w:basedOn w:val="DefaultParagraphFont"/>
    <w:uiPriority w:val="20"/>
    <w:qFormat/>
    <w:rsid w:val="006C2F66"/>
    <w:rPr>
      <w:b w:val="0"/>
      <w:bCs w:val="0"/>
      <w:i/>
      <w:iCs/>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86851">
      <w:bodyDiv w:val="1"/>
      <w:marLeft w:val="0"/>
      <w:marRight w:val="0"/>
      <w:marTop w:val="0"/>
      <w:marBottom w:val="0"/>
      <w:divBdr>
        <w:top w:val="none" w:sz="0" w:space="0" w:color="auto"/>
        <w:left w:val="none" w:sz="0" w:space="0" w:color="auto"/>
        <w:bottom w:val="none" w:sz="0" w:space="0" w:color="auto"/>
        <w:right w:val="none" w:sz="0" w:space="0" w:color="auto"/>
      </w:divBdr>
      <w:divsChild>
        <w:div w:id="811480582">
          <w:marLeft w:val="0"/>
          <w:marRight w:val="0"/>
          <w:marTop w:val="0"/>
          <w:marBottom w:val="0"/>
          <w:divBdr>
            <w:top w:val="none" w:sz="0" w:space="0" w:color="auto"/>
            <w:left w:val="none" w:sz="0" w:space="0" w:color="auto"/>
            <w:bottom w:val="none" w:sz="0" w:space="0" w:color="auto"/>
            <w:right w:val="none" w:sz="0" w:space="0" w:color="auto"/>
          </w:divBdr>
          <w:divsChild>
            <w:div w:id="887837670">
              <w:marLeft w:val="0"/>
              <w:marRight w:val="0"/>
              <w:marTop w:val="0"/>
              <w:marBottom w:val="0"/>
              <w:divBdr>
                <w:top w:val="none" w:sz="0" w:space="0" w:color="auto"/>
                <w:left w:val="none" w:sz="0" w:space="0" w:color="auto"/>
                <w:bottom w:val="none" w:sz="0" w:space="0" w:color="auto"/>
                <w:right w:val="none" w:sz="0" w:space="0" w:color="auto"/>
              </w:divBdr>
              <w:divsChild>
                <w:div w:id="131990433">
                  <w:marLeft w:val="0"/>
                  <w:marRight w:val="0"/>
                  <w:marTop w:val="0"/>
                  <w:marBottom w:val="0"/>
                  <w:divBdr>
                    <w:top w:val="none" w:sz="0" w:space="0" w:color="auto"/>
                    <w:left w:val="none" w:sz="0" w:space="0" w:color="auto"/>
                    <w:bottom w:val="none" w:sz="0" w:space="0" w:color="auto"/>
                    <w:right w:val="none" w:sz="0" w:space="0" w:color="auto"/>
                  </w:divBdr>
                  <w:divsChild>
                    <w:div w:id="669143086">
                      <w:marLeft w:val="0"/>
                      <w:marRight w:val="0"/>
                      <w:marTop w:val="0"/>
                      <w:marBottom w:val="0"/>
                      <w:divBdr>
                        <w:top w:val="none" w:sz="0" w:space="0" w:color="auto"/>
                        <w:left w:val="none" w:sz="0" w:space="0" w:color="auto"/>
                        <w:bottom w:val="none" w:sz="0" w:space="0" w:color="auto"/>
                        <w:right w:val="none" w:sz="0" w:space="0" w:color="auto"/>
                      </w:divBdr>
                      <w:divsChild>
                        <w:div w:id="4484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17688">
      <w:bodyDiv w:val="1"/>
      <w:marLeft w:val="0"/>
      <w:marRight w:val="0"/>
      <w:marTop w:val="0"/>
      <w:marBottom w:val="0"/>
      <w:divBdr>
        <w:top w:val="none" w:sz="0" w:space="0" w:color="auto"/>
        <w:left w:val="none" w:sz="0" w:space="0" w:color="auto"/>
        <w:bottom w:val="none" w:sz="0" w:space="0" w:color="auto"/>
        <w:right w:val="none" w:sz="0" w:space="0" w:color="auto"/>
      </w:divBdr>
      <w:divsChild>
        <w:div w:id="126289586">
          <w:marLeft w:val="547"/>
          <w:marRight w:val="0"/>
          <w:marTop w:val="130"/>
          <w:marBottom w:val="0"/>
          <w:divBdr>
            <w:top w:val="none" w:sz="0" w:space="0" w:color="auto"/>
            <w:left w:val="none" w:sz="0" w:space="0" w:color="auto"/>
            <w:bottom w:val="none" w:sz="0" w:space="0" w:color="auto"/>
            <w:right w:val="none" w:sz="0" w:space="0" w:color="auto"/>
          </w:divBdr>
        </w:div>
        <w:div w:id="347491580">
          <w:marLeft w:val="547"/>
          <w:marRight w:val="0"/>
          <w:marTop w:val="130"/>
          <w:marBottom w:val="0"/>
          <w:divBdr>
            <w:top w:val="none" w:sz="0" w:space="0" w:color="auto"/>
            <w:left w:val="none" w:sz="0" w:space="0" w:color="auto"/>
            <w:bottom w:val="none" w:sz="0" w:space="0" w:color="auto"/>
            <w:right w:val="none" w:sz="0" w:space="0" w:color="auto"/>
          </w:divBdr>
        </w:div>
        <w:div w:id="828253387">
          <w:marLeft w:val="547"/>
          <w:marRight w:val="0"/>
          <w:marTop w:val="130"/>
          <w:marBottom w:val="0"/>
          <w:divBdr>
            <w:top w:val="none" w:sz="0" w:space="0" w:color="auto"/>
            <w:left w:val="none" w:sz="0" w:space="0" w:color="auto"/>
            <w:bottom w:val="none" w:sz="0" w:space="0" w:color="auto"/>
            <w:right w:val="none" w:sz="0" w:space="0" w:color="auto"/>
          </w:divBdr>
        </w:div>
        <w:div w:id="1908611019">
          <w:marLeft w:val="547"/>
          <w:marRight w:val="0"/>
          <w:marTop w:val="130"/>
          <w:marBottom w:val="0"/>
          <w:divBdr>
            <w:top w:val="none" w:sz="0" w:space="0" w:color="auto"/>
            <w:left w:val="none" w:sz="0" w:space="0" w:color="auto"/>
            <w:bottom w:val="none" w:sz="0" w:space="0" w:color="auto"/>
            <w:right w:val="none" w:sz="0" w:space="0" w:color="auto"/>
          </w:divBdr>
        </w:div>
      </w:divsChild>
    </w:div>
    <w:div w:id="526454466">
      <w:bodyDiv w:val="1"/>
      <w:marLeft w:val="0"/>
      <w:marRight w:val="0"/>
      <w:marTop w:val="0"/>
      <w:marBottom w:val="0"/>
      <w:divBdr>
        <w:top w:val="none" w:sz="0" w:space="0" w:color="auto"/>
        <w:left w:val="none" w:sz="0" w:space="0" w:color="auto"/>
        <w:bottom w:val="none" w:sz="0" w:space="0" w:color="auto"/>
        <w:right w:val="none" w:sz="0" w:space="0" w:color="auto"/>
      </w:divBdr>
    </w:div>
    <w:div w:id="740719029">
      <w:bodyDiv w:val="1"/>
      <w:marLeft w:val="0"/>
      <w:marRight w:val="0"/>
      <w:marTop w:val="0"/>
      <w:marBottom w:val="0"/>
      <w:divBdr>
        <w:top w:val="none" w:sz="0" w:space="0" w:color="auto"/>
        <w:left w:val="none" w:sz="0" w:space="0" w:color="auto"/>
        <w:bottom w:val="none" w:sz="0" w:space="0" w:color="auto"/>
        <w:right w:val="none" w:sz="0" w:space="0" w:color="auto"/>
      </w:divBdr>
      <w:divsChild>
        <w:div w:id="638614963">
          <w:marLeft w:val="547"/>
          <w:marRight w:val="0"/>
          <w:marTop w:val="130"/>
          <w:marBottom w:val="0"/>
          <w:divBdr>
            <w:top w:val="none" w:sz="0" w:space="0" w:color="auto"/>
            <w:left w:val="none" w:sz="0" w:space="0" w:color="auto"/>
            <w:bottom w:val="none" w:sz="0" w:space="0" w:color="auto"/>
            <w:right w:val="none" w:sz="0" w:space="0" w:color="auto"/>
          </w:divBdr>
        </w:div>
        <w:div w:id="742796687">
          <w:marLeft w:val="547"/>
          <w:marRight w:val="0"/>
          <w:marTop w:val="130"/>
          <w:marBottom w:val="0"/>
          <w:divBdr>
            <w:top w:val="none" w:sz="0" w:space="0" w:color="auto"/>
            <w:left w:val="none" w:sz="0" w:space="0" w:color="auto"/>
            <w:bottom w:val="none" w:sz="0" w:space="0" w:color="auto"/>
            <w:right w:val="none" w:sz="0" w:space="0" w:color="auto"/>
          </w:divBdr>
        </w:div>
        <w:div w:id="1101757310">
          <w:marLeft w:val="547"/>
          <w:marRight w:val="0"/>
          <w:marTop w:val="130"/>
          <w:marBottom w:val="0"/>
          <w:divBdr>
            <w:top w:val="none" w:sz="0" w:space="0" w:color="auto"/>
            <w:left w:val="none" w:sz="0" w:space="0" w:color="auto"/>
            <w:bottom w:val="none" w:sz="0" w:space="0" w:color="auto"/>
            <w:right w:val="none" w:sz="0" w:space="0" w:color="auto"/>
          </w:divBdr>
        </w:div>
        <w:div w:id="1511943116">
          <w:marLeft w:val="547"/>
          <w:marRight w:val="0"/>
          <w:marTop w:val="130"/>
          <w:marBottom w:val="0"/>
          <w:divBdr>
            <w:top w:val="none" w:sz="0" w:space="0" w:color="auto"/>
            <w:left w:val="none" w:sz="0" w:space="0" w:color="auto"/>
            <w:bottom w:val="none" w:sz="0" w:space="0" w:color="auto"/>
            <w:right w:val="none" w:sz="0" w:space="0" w:color="auto"/>
          </w:divBdr>
        </w:div>
      </w:divsChild>
    </w:div>
    <w:div w:id="744883938">
      <w:bodyDiv w:val="1"/>
      <w:marLeft w:val="0"/>
      <w:marRight w:val="0"/>
      <w:marTop w:val="0"/>
      <w:marBottom w:val="0"/>
      <w:divBdr>
        <w:top w:val="none" w:sz="0" w:space="0" w:color="auto"/>
        <w:left w:val="none" w:sz="0" w:space="0" w:color="auto"/>
        <w:bottom w:val="none" w:sz="0" w:space="0" w:color="auto"/>
        <w:right w:val="none" w:sz="0" w:space="0" w:color="auto"/>
      </w:divBdr>
    </w:div>
    <w:div w:id="907181371">
      <w:bodyDiv w:val="1"/>
      <w:marLeft w:val="0"/>
      <w:marRight w:val="0"/>
      <w:marTop w:val="0"/>
      <w:marBottom w:val="0"/>
      <w:divBdr>
        <w:top w:val="none" w:sz="0" w:space="0" w:color="auto"/>
        <w:left w:val="none" w:sz="0" w:space="0" w:color="auto"/>
        <w:bottom w:val="none" w:sz="0" w:space="0" w:color="auto"/>
        <w:right w:val="none" w:sz="0" w:space="0" w:color="auto"/>
      </w:divBdr>
    </w:div>
    <w:div w:id="925068001">
      <w:bodyDiv w:val="1"/>
      <w:marLeft w:val="0"/>
      <w:marRight w:val="0"/>
      <w:marTop w:val="0"/>
      <w:marBottom w:val="0"/>
      <w:divBdr>
        <w:top w:val="none" w:sz="0" w:space="0" w:color="auto"/>
        <w:left w:val="none" w:sz="0" w:space="0" w:color="auto"/>
        <w:bottom w:val="none" w:sz="0" w:space="0" w:color="auto"/>
        <w:right w:val="none" w:sz="0" w:space="0" w:color="auto"/>
      </w:divBdr>
    </w:div>
    <w:div w:id="1085684789">
      <w:bodyDiv w:val="1"/>
      <w:marLeft w:val="0"/>
      <w:marRight w:val="0"/>
      <w:marTop w:val="0"/>
      <w:marBottom w:val="0"/>
      <w:divBdr>
        <w:top w:val="none" w:sz="0" w:space="0" w:color="auto"/>
        <w:left w:val="none" w:sz="0" w:space="0" w:color="auto"/>
        <w:bottom w:val="none" w:sz="0" w:space="0" w:color="auto"/>
        <w:right w:val="none" w:sz="0" w:space="0" w:color="auto"/>
      </w:divBdr>
    </w:div>
    <w:div w:id="1107506268">
      <w:bodyDiv w:val="1"/>
      <w:marLeft w:val="0"/>
      <w:marRight w:val="0"/>
      <w:marTop w:val="0"/>
      <w:marBottom w:val="0"/>
      <w:divBdr>
        <w:top w:val="none" w:sz="0" w:space="0" w:color="auto"/>
        <w:left w:val="none" w:sz="0" w:space="0" w:color="auto"/>
        <w:bottom w:val="none" w:sz="0" w:space="0" w:color="auto"/>
        <w:right w:val="none" w:sz="0" w:space="0" w:color="auto"/>
      </w:divBdr>
      <w:divsChild>
        <w:div w:id="498547388">
          <w:marLeft w:val="547"/>
          <w:marRight w:val="0"/>
          <w:marTop w:val="144"/>
          <w:marBottom w:val="0"/>
          <w:divBdr>
            <w:top w:val="none" w:sz="0" w:space="0" w:color="auto"/>
            <w:left w:val="none" w:sz="0" w:space="0" w:color="auto"/>
            <w:bottom w:val="none" w:sz="0" w:space="0" w:color="auto"/>
            <w:right w:val="none" w:sz="0" w:space="0" w:color="auto"/>
          </w:divBdr>
        </w:div>
        <w:div w:id="859393880">
          <w:marLeft w:val="547"/>
          <w:marRight w:val="0"/>
          <w:marTop w:val="144"/>
          <w:marBottom w:val="0"/>
          <w:divBdr>
            <w:top w:val="none" w:sz="0" w:space="0" w:color="auto"/>
            <w:left w:val="none" w:sz="0" w:space="0" w:color="auto"/>
            <w:bottom w:val="none" w:sz="0" w:space="0" w:color="auto"/>
            <w:right w:val="none" w:sz="0" w:space="0" w:color="auto"/>
          </w:divBdr>
        </w:div>
        <w:div w:id="1045831042">
          <w:marLeft w:val="547"/>
          <w:marRight w:val="0"/>
          <w:marTop w:val="144"/>
          <w:marBottom w:val="0"/>
          <w:divBdr>
            <w:top w:val="none" w:sz="0" w:space="0" w:color="auto"/>
            <w:left w:val="none" w:sz="0" w:space="0" w:color="auto"/>
            <w:bottom w:val="none" w:sz="0" w:space="0" w:color="auto"/>
            <w:right w:val="none" w:sz="0" w:space="0" w:color="auto"/>
          </w:divBdr>
        </w:div>
        <w:div w:id="1904950388">
          <w:marLeft w:val="547"/>
          <w:marRight w:val="0"/>
          <w:marTop w:val="144"/>
          <w:marBottom w:val="0"/>
          <w:divBdr>
            <w:top w:val="none" w:sz="0" w:space="0" w:color="auto"/>
            <w:left w:val="none" w:sz="0" w:space="0" w:color="auto"/>
            <w:bottom w:val="none" w:sz="0" w:space="0" w:color="auto"/>
            <w:right w:val="none" w:sz="0" w:space="0" w:color="auto"/>
          </w:divBdr>
        </w:div>
      </w:divsChild>
    </w:div>
    <w:div w:id="1109935989">
      <w:bodyDiv w:val="1"/>
      <w:marLeft w:val="0"/>
      <w:marRight w:val="0"/>
      <w:marTop w:val="0"/>
      <w:marBottom w:val="0"/>
      <w:divBdr>
        <w:top w:val="none" w:sz="0" w:space="0" w:color="auto"/>
        <w:left w:val="none" w:sz="0" w:space="0" w:color="auto"/>
        <w:bottom w:val="none" w:sz="0" w:space="0" w:color="auto"/>
        <w:right w:val="none" w:sz="0" w:space="0" w:color="auto"/>
      </w:divBdr>
      <w:divsChild>
        <w:div w:id="963542844">
          <w:marLeft w:val="0"/>
          <w:marRight w:val="0"/>
          <w:marTop w:val="0"/>
          <w:marBottom w:val="0"/>
          <w:divBdr>
            <w:top w:val="none" w:sz="0" w:space="0" w:color="auto"/>
            <w:left w:val="none" w:sz="0" w:space="0" w:color="auto"/>
            <w:bottom w:val="none" w:sz="0" w:space="0" w:color="auto"/>
            <w:right w:val="none" w:sz="0" w:space="0" w:color="auto"/>
          </w:divBdr>
          <w:divsChild>
            <w:div w:id="563638038">
              <w:marLeft w:val="0"/>
              <w:marRight w:val="0"/>
              <w:marTop w:val="0"/>
              <w:marBottom w:val="0"/>
              <w:divBdr>
                <w:top w:val="none" w:sz="0" w:space="0" w:color="auto"/>
                <w:left w:val="none" w:sz="0" w:space="0" w:color="auto"/>
                <w:bottom w:val="none" w:sz="0" w:space="0" w:color="auto"/>
                <w:right w:val="none" w:sz="0" w:space="0" w:color="auto"/>
              </w:divBdr>
              <w:divsChild>
                <w:div w:id="476730234">
                  <w:marLeft w:val="0"/>
                  <w:marRight w:val="0"/>
                  <w:marTop w:val="0"/>
                  <w:marBottom w:val="0"/>
                  <w:divBdr>
                    <w:top w:val="none" w:sz="0" w:space="0" w:color="auto"/>
                    <w:left w:val="none" w:sz="0" w:space="0" w:color="auto"/>
                    <w:bottom w:val="none" w:sz="0" w:space="0" w:color="auto"/>
                    <w:right w:val="none" w:sz="0" w:space="0" w:color="auto"/>
                  </w:divBdr>
                  <w:divsChild>
                    <w:div w:id="8408874">
                      <w:marLeft w:val="0"/>
                      <w:marRight w:val="0"/>
                      <w:marTop w:val="0"/>
                      <w:marBottom w:val="0"/>
                      <w:divBdr>
                        <w:top w:val="none" w:sz="0" w:space="0" w:color="auto"/>
                        <w:left w:val="none" w:sz="0" w:space="0" w:color="auto"/>
                        <w:bottom w:val="none" w:sz="0" w:space="0" w:color="auto"/>
                        <w:right w:val="none" w:sz="0" w:space="0" w:color="auto"/>
                      </w:divBdr>
                      <w:divsChild>
                        <w:div w:id="49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90813">
      <w:bodyDiv w:val="1"/>
      <w:marLeft w:val="0"/>
      <w:marRight w:val="0"/>
      <w:marTop w:val="0"/>
      <w:marBottom w:val="0"/>
      <w:divBdr>
        <w:top w:val="none" w:sz="0" w:space="0" w:color="auto"/>
        <w:left w:val="none" w:sz="0" w:space="0" w:color="auto"/>
        <w:bottom w:val="none" w:sz="0" w:space="0" w:color="auto"/>
        <w:right w:val="none" w:sz="0" w:space="0" w:color="auto"/>
      </w:divBdr>
    </w:div>
    <w:div w:id="1321537620">
      <w:bodyDiv w:val="1"/>
      <w:marLeft w:val="0"/>
      <w:marRight w:val="0"/>
      <w:marTop w:val="0"/>
      <w:marBottom w:val="0"/>
      <w:divBdr>
        <w:top w:val="none" w:sz="0" w:space="0" w:color="auto"/>
        <w:left w:val="none" w:sz="0" w:space="0" w:color="auto"/>
        <w:bottom w:val="none" w:sz="0" w:space="0" w:color="auto"/>
        <w:right w:val="none" w:sz="0" w:space="0" w:color="auto"/>
      </w:divBdr>
      <w:divsChild>
        <w:div w:id="1171796904">
          <w:marLeft w:val="547"/>
          <w:marRight w:val="0"/>
          <w:marTop w:val="125"/>
          <w:marBottom w:val="0"/>
          <w:divBdr>
            <w:top w:val="none" w:sz="0" w:space="0" w:color="auto"/>
            <w:left w:val="none" w:sz="0" w:space="0" w:color="auto"/>
            <w:bottom w:val="none" w:sz="0" w:space="0" w:color="auto"/>
            <w:right w:val="none" w:sz="0" w:space="0" w:color="auto"/>
          </w:divBdr>
        </w:div>
      </w:divsChild>
    </w:div>
    <w:div w:id="1441146986">
      <w:bodyDiv w:val="1"/>
      <w:marLeft w:val="0"/>
      <w:marRight w:val="0"/>
      <w:marTop w:val="0"/>
      <w:marBottom w:val="0"/>
      <w:divBdr>
        <w:top w:val="none" w:sz="0" w:space="0" w:color="auto"/>
        <w:left w:val="none" w:sz="0" w:space="0" w:color="auto"/>
        <w:bottom w:val="none" w:sz="0" w:space="0" w:color="auto"/>
        <w:right w:val="none" w:sz="0" w:space="0" w:color="auto"/>
      </w:divBdr>
      <w:divsChild>
        <w:div w:id="398944392">
          <w:marLeft w:val="547"/>
          <w:marRight w:val="0"/>
          <w:marTop w:val="130"/>
          <w:marBottom w:val="0"/>
          <w:divBdr>
            <w:top w:val="none" w:sz="0" w:space="0" w:color="auto"/>
            <w:left w:val="none" w:sz="0" w:space="0" w:color="auto"/>
            <w:bottom w:val="none" w:sz="0" w:space="0" w:color="auto"/>
            <w:right w:val="none" w:sz="0" w:space="0" w:color="auto"/>
          </w:divBdr>
        </w:div>
      </w:divsChild>
    </w:div>
    <w:div w:id="1500803782">
      <w:bodyDiv w:val="1"/>
      <w:marLeft w:val="0"/>
      <w:marRight w:val="0"/>
      <w:marTop w:val="0"/>
      <w:marBottom w:val="0"/>
      <w:divBdr>
        <w:top w:val="none" w:sz="0" w:space="0" w:color="auto"/>
        <w:left w:val="none" w:sz="0" w:space="0" w:color="auto"/>
        <w:bottom w:val="none" w:sz="0" w:space="0" w:color="auto"/>
        <w:right w:val="none" w:sz="0" w:space="0" w:color="auto"/>
      </w:divBdr>
    </w:div>
    <w:div w:id="1539009615">
      <w:bodyDiv w:val="1"/>
      <w:marLeft w:val="0"/>
      <w:marRight w:val="0"/>
      <w:marTop w:val="0"/>
      <w:marBottom w:val="0"/>
      <w:divBdr>
        <w:top w:val="none" w:sz="0" w:space="0" w:color="auto"/>
        <w:left w:val="none" w:sz="0" w:space="0" w:color="auto"/>
        <w:bottom w:val="none" w:sz="0" w:space="0" w:color="auto"/>
        <w:right w:val="none" w:sz="0" w:space="0" w:color="auto"/>
      </w:divBdr>
    </w:div>
    <w:div w:id="1588615891">
      <w:bodyDiv w:val="1"/>
      <w:marLeft w:val="0"/>
      <w:marRight w:val="0"/>
      <w:marTop w:val="0"/>
      <w:marBottom w:val="0"/>
      <w:divBdr>
        <w:top w:val="none" w:sz="0" w:space="0" w:color="auto"/>
        <w:left w:val="none" w:sz="0" w:space="0" w:color="auto"/>
        <w:bottom w:val="none" w:sz="0" w:space="0" w:color="auto"/>
        <w:right w:val="none" w:sz="0" w:space="0" w:color="auto"/>
      </w:divBdr>
    </w:div>
    <w:div w:id="1719426339">
      <w:bodyDiv w:val="1"/>
      <w:marLeft w:val="0"/>
      <w:marRight w:val="0"/>
      <w:marTop w:val="0"/>
      <w:marBottom w:val="0"/>
      <w:divBdr>
        <w:top w:val="none" w:sz="0" w:space="0" w:color="auto"/>
        <w:left w:val="none" w:sz="0" w:space="0" w:color="auto"/>
        <w:bottom w:val="none" w:sz="0" w:space="0" w:color="auto"/>
        <w:right w:val="none" w:sz="0" w:space="0" w:color="auto"/>
      </w:divBdr>
      <w:divsChild>
        <w:div w:id="1919704233">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lii.org/ew/cases/EWCA/Civ/2009/58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foi.org.uk/scotland/" TargetMode="External"/><Relationship Id="rId4" Type="http://schemas.openxmlformats.org/officeDocument/2006/relationships/settings" Target="settings.xml"/><Relationship Id="rId9" Type="http://schemas.openxmlformats.org/officeDocument/2006/relationships/hyperlink" Target="https://www.cfoi.org.uk/scotlan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naprights.info/action-areas/better-world/business-and-human-rights" TargetMode="External"/><Relationship Id="rId13" Type="http://schemas.openxmlformats.org/officeDocument/2006/relationships/hyperlink" Target="http://www.echr.coe.int/Documents/Convention_ENG.pdf" TargetMode="External"/><Relationship Id="rId18" Type="http://schemas.openxmlformats.org/officeDocument/2006/relationships/hyperlink" Target="http://www.gov.scot/About/Information/FOI/Coverage" TargetMode="External"/><Relationship Id="rId3" Type="http://schemas.openxmlformats.org/officeDocument/2006/relationships/hyperlink" Target="http://www.itspublicknowledge.info/Law/FOISA.aspx" TargetMode="External"/><Relationship Id="rId7" Type="http://schemas.openxmlformats.org/officeDocument/2006/relationships/hyperlink" Target="http://thirdforcenews.org.uk/tfn-news/under-fire-housing-association-boss-refuses-to-quit?utm_medium=email&amp;utm_campaign=TFN%20digest%20Tuesday%2014%20February&amp;utm_content=TFN%20digest%20Tuesday%2014%20February+CID_f13407ff2ebbd350220a7adaaa33d097&amp;utm_source=Email%20marketing%20software&amp;utm_term=Under-fire%20housing%20association%20boss%20refuses%20to%20quit" TargetMode="External"/><Relationship Id="rId12" Type="http://schemas.openxmlformats.org/officeDocument/2006/relationships/hyperlink" Target="https://www.equalityhumanrights.com/en/advice-and-guidance/guidance-social-housing-providers" TargetMode="External"/><Relationship Id="rId17" Type="http://schemas.openxmlformats.org/officeDocument/2006/relationships/hyperlink" Target="file:///C:/Users/Agnes/AppData/Local/Microsoft/Windows/INetCache/IE/R0L7MN7K/Special_Report_10_Years_On.pdf" TargetMode="External"/><Relationship Id="rId2" Type="http://schemas.openxmlformats.org/officeDocument/2006/relationships/hyperlink" Target="http://www.gov.scot/Resource/0046/00465757.pdf" TargetMode="External"/><Relationship Id="rId16" Type="http://schemas.openxmlformats.org/officeDocument/2006/relationships/hyperlink" Target="https://www.cfoi.org.uk/scotland/" TargetMode="External"/><Relationship Id="rId1" Type="http://schemas.openxmlformats.org/officeDocument/2006/relationships/hyperlink" Target="http://www.gov.scot/Resource/0051/00510874.pdf" TargetMode="External"/><Relationship Id="rId6" Type="http://schemas.openxmlformats.org/officeDocument/2006/relationships/hyperlink" Target="http://www.scottishhumanrights.com/eqhria" TargetMode="External"/><Relationship Id="rId11" Type="http://schemas.openxmlformats.org/officeDocument/2006/relationships/hyperlink" Target="http://www.legislation.gov.uk/asp/2006/16/section/2" TargetMode="External"/><Relationship Id="rId5" Type="http://schemas.openxmlformats.org/officeDocument/2006/relationships/hyperlink" Target="http://www.gov.scot/Resource/0051/00510874.pdf" TargetMode="External"/><Relationship Id="rId15" Type="http://schemas.openxmlformats.org/officeDocument/2006/relationships/hyperlink" Target="http://www.snaprights.info/what-is-snap" TargetMode="External"/><Relationship Id="rId10" Type="http://schemas.openxmlformats.org/officeDocument/2006/relationships/hyperlink" Target="http://www.legislation.gov.uk/asp/2003/17/contents" TargetMode="External"/><Relationship Id="rId4" Type="http://schemas.openxmlformats.org/officeDocument/2006/relationships/hyperlink" Target="http://www.legislation.gov.uk/ssi/2016/346/contents/made" TargetMode="External"/><Relationship Id="rId9" Type="http://schemas.openxmlformats.org/officeDocument/2006/relationships/hyperlink" Target="http://www.ohchr.org/Documents/Publications/GuidingPrinciplesBusinessHR_EN.pdf" TargetMode="External"/><Relationship Id="rId14" Type="http://schemas.openxmlformats.org/officeDocument/2006/relationships/hyperlink" Target="http://www.parliament.scot/parliamentarybusiness/CurrentCommittees/Equalities-Human-Rights-Committe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5A362D-3766-44CA-B6A7-52C41093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27283</CharactersWithSpaces>
  <SharedDoc>false</SharedDoc>
  <HLinks>
    <vt:vector size="36" baseType="variant">
      <vt:variant>
        <vt:i4>458827</vt:i4>
      </vt:variant>
      <vt:variant>
        <vt:i4>3</vt:i4>
      </vt:variant>
      <vt:variant>
        <vt:i4>0</vt:i4>
      </vt:variant>
      <vt:variant>
        <vt:i4>5</vt:i4>
      </vt:variant>
      <vt:variant>
        <vt:lpwstr>https://www.cfoi.org.uk/scotland/</vt:lpwstr>
      </vt:variant>
      <vt:variant>
        <vt:lpwstr/>
      </vt:variant>
      <vt:variant>
        <vt:i4>458827</vt:i4>
      </vt:variant>
      <vt:variant>
        <vt:i4>0</vt:i4>
      </vt:variant>
      <vt:variant>
        <vt:i4>0</vt:i4>
      </vt:variant>
      <vt:variant>
        <vt:i4>5</vt:i4>
      </vt:variant>
      <vt:variant>
        <vt:lpwstr>https://www.cfoi.org.uk/scotland/</vt:lpwstr>
      </vt:variant>
      <vt:variant>
        <vt:lpwstr/>
      </vt:variant>
      <vt:variant>
        <vt:i4>6029385</vt:i4>
      </vt:variant>
      <vt:variant>
        <vt:i4>9</vt:i4>
      </vt:variant>
      <vt:variant>
        <vt:i4>0</vt:i4>
      </vt:variant>
      <vt:variant>
        <vt:i4>5</vt:i4>
      </vt:variant>
      <vt:variant>
        <vt:lpwstr>http://www.itspublicknowledge.info/home/SICReports/OtherReports/PublicAwarenessResearch2015.aspx</vt:lpwstr>
      </vt:variant>
      <vt:variant>
        <vt:lpwstr/>
      </vt:variant>
      <vt:variant>
        <vt:i4>7995450</vt:i4>
      </vt:variant>
      <vt:variant>
        <vt:i4>6</vt:i4>
      </vt:variant>
      <vt:variant>
        <vt:i4>0</vt:i4>
      </vt:variant>
      <vt:variant>
        <vt:i4>5</vt:i4>
      </vt:variant>
      <vt:variant>
        <vt:lpwstr>http://www.abc.net.au/news/2016-10-13/ministers-warned-their-smartphone-app-messages-could-be-released/7930846</vt:lpwstr>
      </vt:variant>
      <vt:variant>
        <vt:lpwstr/>
      </vt:variant>
      <vt:variant>
        <vt:i4>4653132</vt:i4>
      </vt:variant>
      <vt:variant>
        <vt:i4>3</vt:i4>
      </vt:variant>
      <vt:variant>
        <vt:i4>0</vt:i4>
      </vt:variant>
      <vt:variant>
        <vt:i4>5</vt:i4>
      </vt:variant>
      <vt:variant>
        <vt:lpwstr>http://www.legislation.gov.uk/ukpga/2000/36/contents</vt:lpwstr>
      </vt:variant>
      <vt:variant>
        <vt:lpwstr/>
      </vt:variant>
      <vt:variant>
        <vt:i4>1769497</vt:i4>
      </vt:variant>
      <vt:variant>
        <vt:i4>0</vt:i4>
      </vt:variant>
      <vt:variant>
        <vt:i4>0</vt:i4>
      </vt:variant>
      <vt:variant>
        <vt:i4>5</vt:i4>
      </vt:variant>
      <vt:variant>
        <vt:lpwstr>http://www.itspublicknowledge.info/Law/FOISA.aspx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cp:lastModifiedBy>Agnes</cp:lastModifiedBy>
  <cp:revision>4</cp:revision>
  <cp:lastPrinted>2017-02-19T11:33:00Z</cp:lastPrinted>
  <dcterms:created xsi:type="dcterms:W3CDTF">2017-02-19T14:34:00Z</dcterms:created>
  <dcterms:modified xsi:type="dcterms:W3CDTF">2017-02-24T11:06:00Z</dcterms:modified>
</cp:coreProperties>
</file>