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E976" w14:textId="77777777" w:rsidR="005927ED" w:rsidRPr="007B74E4" w:rsidRDefault="005927ED" w:rsidP="005927ED">
      <w:pPr>
        <w:rPr>
          <w:rFonts w:ascii="Arial" w:hAnsi="Arial" w:cs="Arial"/>
          <w:b/>
          <w:bCs/>
          <w:sz w:val="40"/>
          <w:szCs w:val="40"/>
        </w:rPr>
      </w:pPr>
      <w:r w:rsidRPr="007B74E4">
        <w:rPr>
          <w:rFonts w:ascii="Arial" w:hAnsi="Arial" w:cs="Arial"/>
          <w:b/>
          <w:bCs/>
          <w:sz w:val="40"/>
          <w:szCs w:val="40"/>
        </w:rPr>
        <w:t>Business and Regulatory Impact Assessment on Pelagic Fisheries Management Plans</w:t>
      </w:r>
    </w:p>
    <w:p w14:paraId="27EE1A87" w14:textId="77777777" w:rsidR="005927ED" w:rsidRPr="007B74E4" w:rsidRDefault="005927ED" w:rsidP="005927ED">
      <w:pPr>
        <w:rPr>
          <w:rFonts w:ascii="Arial" w:eastAsiaTheme="minorHAnsi" w:hAnsi="Arial" w:cs="Arial"/>
        </w:rPr>
      </w:pPr>
    </w:p>
    <w:sdt>
      <w:sdtPr>
        <w:rPr>
          <w:rFonts w:ascii="Arial" w:eastAsia="Times New Roman" w:hAnsi="Arial" w:cs="Arial"/>
          <w:color w:val="auto"/>
          <w:kern w:val="2"/>
          <w:sz w:val="22"/>
          <w:szCs w:val="22"/>
          <w:lang w:eastAsia="en-US"/>
          <w14:ligatures w14:val="standardContextual"/>
        </w:rPr>
        <w:id w:val="2129894614"/>
        <w:docPartObj>
          <w:docPartGallery w:val="Table of Contents"/>
          <w:docPartUnique/>
        </w:docPartObj>
      </w:sdtPr>
      <w:sdtEndPr>
        <w:rPr>
          <w:b/>
          <w:bCs/>
        </w:rPr>
      </w:sdtEndPr>
      <w:sdtContent>
        <w:p w14:paraId="747C6B88" w14:textId="77777777" w:rsidR="005927ED" w:rsidRPr="007B74E4" w:rsidRDefault="005927ED" w:rsidP="005927ED">
          <w:pPr>
            <w:pStyle w:val="TOCHeading"/>
            <w:rPr>
              <w:rFonts w:ascii="Arial" w:hAnsi="Arial" w:cs="Arial"/>
              <w:sz w:val="24"/>
              <w:szCs w:val="24"/>
            </w:rPr>
          </w:pPr>
          <w:r w:rsidRPr="007B74E4">
            <w:rPr>
              <w:rFonts w:ascii="Arial" w:hAnsi="Arial" w:cs="Arial"/>
              <w:sz w:val="24"/>
              <w:szCs w:val="24"/>
            </w:rPr>
            <w:t>Contents</w:t>
          </w:r>
        </w:p>
        <w:p w14:paraId="64362CFA"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r w:rsidRPr="007B74E4">
            <w:rPr>
              <w:rFonts w:ascii="Arial" w:hAnsi="Arial" w:cs="Arial"/>
              <w:sz w:val="24"/>
              <w:szCs w:val="24"/>
            </w:rPr>
            <w:fldChar w:fldCharType="begin"/>
          </w:r>
          <w:r w:rsidRPr="007B74E4">
            <w:rPr>
              <w:rFonts w:ascii="Arial" w:hAnsi="Arial" w:cs="Arial"/>
              <w:sz w:val="24"/>
              <w:szCs w:val="24"/>
            </w:rPr>
            <w:instrText xml:space="preserve"> TOC \o "1-3" \h \z \u </w:instrText>
          </w:r>
          <w:r w:rsidRPr="007B74E4">
            <w:rPr>
              <w:rFonts w:ascii="Arial" w:hAnsi="Arial" w:cs="Arial"/>
              <w:sz w:val="24"/>
              <w:szCs w:val="24"/>
            </w:rPr>
            <w:fldChar w:fldCharType="separate"/>
          </w:r>
          <w:hyperlink w:anchor="_Toc233124011" w:history="1">
            <w:r w:rsidRPr="007B74E4">
              <w:rPr>
                <w:rStyle w:val="Hyperlink"/>
                <w:rFonts w:ascii="Arial" w:hAnsi="Arial" w:cs="Arial"/>
                <w:noProof/>
                <w:sz w:val="24"/>
                <w:szCs w:val="24"/>
              </w:rPr>
              <w:t>Introduction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_Toc233124011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3</w:t>
            </w:r>
            <w:r w:rsidRPr="007B74E4">
              <w:rPr>
                <w:rFonts w:ascii="Arial" w:hAnsi="Arial" w:cs="Arial"/>
                <w:noProof/>
                <w:webHidden/>
                <w:sz w:val="24"/>
                <w:szCs w:val="24"/>
              </w:rPr>
              <w:fldChar w:fldCharType="end"/>
            </w:r>
          </w:hyperlink>
        </w:p>
        <w:p w14:paraId="0D68544E"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12" w:history="1">
            <w:r w:rsidRPr="007B74E4">
              <w:rPr>
                <w:rStyle w:val="Hyperlink"/>
                <w:rFonts w:ascii="Arial" w:hAnsi="Arial" w:cs="Arial"/>
                <w:noProof/>
                <w:sz w:val="24"/>
                <w:szCs w:val="24"/>
              </w:rPr>
              <w:t>Executive summary</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_Toc233124012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7</w:t>
            </w:r>
            <w:r w:rsidRPr="007B74E4">
              <w:rPr>
                <w:rFonts w:ascii="Arial" w:hAnsi="Arial" w:cs="Arial"/>
                <w:noProof/>
                <w:webHidden/>
                <w:sz w:val="24"/>
                <w:szCs w:val="24"/>
              </w:rPr>
              <w:fldChar w:fldCharType="end"/>
            </w:r>
          </w:hyperlink>
        </w:p>
        <w:p w14:paraId="7676F3DF"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13" w:history="1">
            <w:r w:rsidRPr="007B74E4">
              <w:rPr>
                <w:rStyle w:val="Hyperlink"/>
                <w:rFonts w:ascii="Arial" w:hAnsi="Arial" w:cs="Arial"/>
                <w:noProof/>
                <w:sz w:val="24"/>
                <w:szCs w:val="24"/>
              </w:rPr>
              <w:t>Section 1: Background, aims and options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_Toc233124013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9</w:t>
            </w:r>
            <w:r w:rsidRPr="007B74E4">
              <w:rPr>
                <w:rFonts w:ascii="Arial" w:hAnsi="Arial" w:cs="Arial"/>
                <w:noProof/>
                <w:webHidden/>
                <w:sz w:val="24"/>
                <w:szCs w:val="24"/>
              </w:rPr>
              <w:fldChar w:fldCharType="end"/>
            </w:r>
          </w:hyperlink>
        </w:p>
        <w:p w14:paraId="4C76B36A"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14" w:history="1">
            <w:r w:rsidRPr="007B74E4">
              <w:rPr>
                <w:rStyle w:val="Hyperlink"/>
                <w:rFonts w:ascii="Arial" w:hAnsi="Arial" w:cs="Arial"/>
                <w:noProof/>
                <w:sz w:val="24"/>
                <w:szCs w:val="24"/>
              </w:rPr>
              <w:t>Background to policy issue</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_Toc233124014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9</w:t>
            </w:r>
            <w:r w:rsidRPr="007B74E4">
              <w:rPr>
                <w:rFonts w:ascii="Arial" w:hAnsi="Arial" w:cs="Arial"/>
                <w:noProof/>
                <w:webHidden/>
                <w:sz w:val="24"/>
                <w:szCs w:val="24"/>
              </w:rPr>
              <w:fldChar w:fldCharType="end"/>
            </w:r>
          </w:hyperlink>
        </w:p>
        <w:p w14:paraId="00CDB7AA"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15" w:history="1">
            <w:r w:rsidRPr="007B74E4">
              <w:rPr>
                <w:rStyle w:val="Hyperlink"/>
                <w:rFonts w:ascii="Arial" w:hAnsi="Arial" w:cs="Arial"/>
                <w:noProof/>
                <w:sz w:val="24"/>
                <w:szCs w:val="24"/>
              </w:rPr>
              <w:t>Purpose/ aim of action and desired effect</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_Toc233124015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10</w:t>
            </w:r>
            <w:r w:rsidRPr="007B74E4">
              <w:rPr>
                <w:rFonts w:ascii="Arial" w:hAnsi="Arial" w:cs="Arial"/>
                <w:noProof/>
                <w:webHidden/>
                <w:sz w:val="24"/>
                <w:szCs w:val="24"/>
              </w:rPr>
              <w:fldChar w:fldCharType="end"/>
            </w:r>
          </w:hyperlink>
        </w:p>
        <w:p w14:paraId="6F0B932D"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16" w:history="1">
            <w:r w:rsidRPr="007B74E4">
              <w:rPr>
                <w:rStyle w:val="Hyperlink"/>
                <w:rFonts w:ascii="Arial" w:hAnsi="Arial" w:cs="Arial"/>
                <w:noProof/>
                <w:sz w:val="24"/>
                <w:szCs w:val="24"/>
              </w:rPr>
              <w:t>Options (considered so far/ still open)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_Toc233124016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11</w:t>
            </w:r>
            <w:r w:rsidRPr="007B74E4">
              <w:rPr>
                <w:rFonts w:ascii="Arial" w:hAnsi="Arial" w:cs="Arial"/>
                <w:noProof/>
                <w:webHidden/>
                <w:sz w:val="24"/>
                <w:szCs w:val="24"/>
              </w:rPr>
              <w:fldChar w:fldCharType="end"/>
            </w:r>
          </w:hyperlink>
        </w:p>
        <w:p w14:paraId="2A1A1BD0"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17" w:history="1">
            <w:r w:rsidRPr="007B74E4">
              <w:rPr>
                <w:rStyle w:val="Hyperlink"/>
                <w:rFonts w:ascii="Arial" w:hAnsi="Arial" w:cs="Arial"/>
                <w:noProof/>
                <w:sz w:val="24"/>
                <w:szCs w:val="24"/>
              </w:rPr>
              <w:t>Sectors/ Groups affected</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_Toc233124017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12</w:t>
            </w:r>
            <w:r w:rsidRPr="007B74E4">
              <w:rPr>
                <w:rFonts w:ascii="Arial" w:hAnsi="Arial" w:cs="Arial"/>
                <w:noProof/>
                <w:webHidden/>
                <w:sz w:val="24"/>
                <w:szCs w:val="24"/>
              </w:rPr>
              <w:fldChar w:fldCharType="end"/>
            </w:r>
          </w:hyperlink>
        </w:p>
        <w:p w14:paraId="46A9C052"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18" w:history="1">
            <w:r w:rsidRPr="007B74E4">
              <w:rPr>
                <w:rStyle w:val="Hyperlink"/>
                <w:rFonts w:ascii="Arial" w:hAnsi="Arial" w:cs="Arial"/>
                <w:noProof/>
                <w:sz w:val="24"/>
                <w:szCs w:val="24"/>
              </w:rPr>
              <w:t>Section 2: Engagement and information gathering</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_Toc233124018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13</w:t>
            </w:r>
            <w:r w:rsidRPr="007B74E4">
              <w:rPr>
                <w:rFonts w:ascii="Arial" w:hAnsi="Arial" w:cs="Arial"/>
                <w:noProof/>
                <w:webHidden/>
                <w:sz w:val="24"/>
                <w:szCs w:val="24"/>
              </w:rPr>
              <w:fldChar w:fldCharType="end"/>
            </w:r>
          </w:hyperlink>
        </w:p>
        <w:p w14:paraId="7943E7BF"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19" w:history="1">
            <w:r w:rsidRPr="007B74E4">
              <w:rPr>
                <w:rStyle w:val="Hyperlink"/>
                <w:rFonts w:ascii="Arial" w:hAnsi="Arial" w:cs="Arial"/>
                <w:noProof/>
                <w:sz w:val="24"/>
                <w:szCs w:val="24"/>
              </w:rPr>
              <w:t>Engagement approach</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_Toc233124019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13</w:t>
            </w:r>
            <w:r w:rsidRPr="007B74E4">
              <w:rPr>
                <w:rFonts w:ascii="Arial" w:hAnsi="Arial" w:cs="Arial"/>
                <w:noProof/>
                <w:webHidden/>
                <w:sz w:val="24"/>
                <w:szCs w:val="24"/>
              </w:rPr>
              <w:fldChar w:fldCharType="end"/>
            </w:r>
          </w:hyperlink>
        </w:p>
        <w:p w14:paraId="3D1E820C"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0" w:history="1">
            <w:r w:rsidRPr="007B74E4">
              <w:rPr>
                <w:rStyle w:val="Hyperlink"/>
                <w:rFonts w:ascii="Arial" w:hAnsi="Arial" w:cs="Arial"/>
                <w:noProof/>
                <w:sz w:val="24"/>
                <w:szCs w:val="24"/>
              </w:rPr>
              <w:t>Internal SG engagement/ engagement with wider Public Sector</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_Toc233124020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14</w:t>
            </w:r>
            <w:r w:rsidRPr="007B74E4">
              <w:rPr>
                <w:rFonts w:ascii="Arial" w:hAnsi="Arial" w:cs="Arial"/>
                <w:noProof/>
                <w:webHidden/>
                <w:sz w:val="24"/>
                <w:szCs w:val="24"/>
              </w:rPr>
              <w:fldChar w:fldCharType="end"/>
            </w:r>
          </w:hyperlink>
        </w:p>
        <w:p w14:paraId="566FE358"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1" w:history="1">
            <w:r w:rsidRPr="007B74E4">
              <w:rPr>
                <w:rStyle w:val="Hyperlink"/>
                <w:rFonts w:ascii="Arial" w:hAnsi="Arial" w:cs="Arial"/>
                <w:noProof/>
                <w:sz w:val="24"/>
                <w:szCs w:val="24"/>
              </w:rPr>
              <w:t>Business / Third Sector engagement</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_Toc233124021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14</w:t>
            </w:r>
            <w:r w:rsidRPr="007B74E4">
              <w:rPr>
                <w:rFonts w:ascii="Arial" w:hAnsi="Arial" w:cs="Arial"/>
                <w:noProof/>
                <w:webHidden/>
                <w:sz w:val="24"/>
                <w:szCs w:val="24"/>
              </w:rPr>
              <w:fldChar w:fldCharType="end"/>
            </w:r>
          </w:hyperlink>
        </w:p>
        <w:p w14:paraId="1D7190C5"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2" w:history="1">
            <w:r w:rsidRPr="007B74E4">
              <w:rPr>
                <w:rStyle w:val="Hyperlink"/>
                <w:rFonts w:ascii="Arial" w:hAnsi="Arial" w:cs="Arial"/>
                <w:noProof/>
                <w:sz w:val="24"/>
                <w:szCs w:val="24"/>
              </w:rPr>
              <w:t>Public consultation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_Toc233124022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14</w:t>
            </w:r>
            <w:r w:rsidRPr="007B74E4">
              <w:rPr>
                <w:rFonts w:ascii="Arial" w:hAnsi="Arial" w:cs="Arial"/>
                <w:noProof/>
                <w:webHidden/>
                <w:sz w:val="24"/>
                <w:szCs w:val="24"/>
              </w:rPr>
              <w:fldChar w:fldCharType="end"/>
            </w:r>
          </w:hyperlink>
        </w:p>
        <w:p w14:paraId="28CB9B54"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23" w:history="1">
            <w:r w:rsidRPr="007B74E4">
              <w:rPr>
                <w:rStyle w:val="Hyperlink"/>
                <w:rFonts w:ascii="Arial" w:hAnsi="Arial" w:cs="Arial"/>
                <w:noProof/>
                <w:sz w:val="24"/>
                <w:szCs w:val="24"/>
              </w:rPr>
              <w:t>Section 3: Costs, impacts and benefits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_Toc233124023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15</w:t>
            </w:r>
            <w:r w:rsidRPr="007B74E4">
              <w:rPr>
                <w:rFonts w:ascii="Arial" w:hAnsi="Arial" w:cs="Arial"/>
                <w:noProof/>
                <w:webHidden/>
                <w:sz w:val="24"/>
                <w:szCs w:val="24"/>
              </w:rPr>
              <w:fldChar w:fldCharType="end"/>
            </w:r>
          </w:hyperlink>
        </w:p>
        <w:p w14:paraId="26129D1D"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4" w:history="1">
            <w:r w:rsidRPr="007B74E4">
              <w:rPr>
                <w:rStyle w:val="Hyperlink"/>
                <w:rFonts w:ascii="Arial" w:hAnsi="Arial" w:cs="Arial"/>
                <w:noProof/>
                <w:sz w:val="24"/>
                <w:szCs w:val="24"/>
              </w:rPr>
              <w:t>Quantified costs to businesses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_Toc233124024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15</w:t>
            </w:r>
            <w:r w:rsidRPr="007B74E4">
              <w:rPr>
                <w:rFonts w:ascii="Arial" w:hAnsi="Arial" w:cs="Arial"/>
                <w:noProof/>
                <w:webHidden/>
                <w:sz w:val="24"/>
                <w:szCs w:val="24"/>
              </w:rPr>
              <w:fldChar w:fldCharType="end"/>
            </w:r>
          </w:hyperlink>
        </w:p>
        <w:p w14:paraId="332232D5"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5" w:history="1">
            <w:r w:rsidRPr="007B74E4">
              <w:rPr>
                <w:rStyle w:val="Hyperlink"/>
                <w:rFonts w:ascii="Arial" w:hAnsi="Arial" w:cs="Arial"/>
                <w:noProof/>
                <w:sz w:val="24"/>
                <w:szCs w:val="24"/>
              </w:rPr>
              <w:t>Benefits to business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_Toc233124025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16</w:t>
            </w:r>
            <w:r w:rsidRPr="007B74E4">
              <w:rPr>
                <w:rFonts w:ascii="Arial" w:hAnsi="Arial" w:cs="Arial"/>
                <w:noProof/>
                <w:webHidden/>
                <w:sz w:val="24"/>
                <w:szCs w:val="24"/>
              </w:rPr>
              <w:fldChar w:fldCharType="end"/>
            </w:r>
          </w:hyperlink>
        </w:p>
        <w:p w14:paraId="4204F24A"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6" w:history="1">
            <w:r w:rsidRPr="007B74E4">
              <w:rPr>
                <w:rStyle w:val="Hyperlink"/>
                <w:rFonts w:ascii="Arial" w:hAnsi="Arial" w:cs="Arial"/>
                <w:noProof/>
                <w:sz w:val="24"/>
                <w:szCs w:val="24"/>
              </w:rPr>
              <w:t>Other impacts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_Toc233124026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17</w:t>
            </w:r>
            <w:r w:rsidRPr="007B74E4">
              <w:rPr>
                <w:rFonts w:ascii="Arial" w:hAnsi="Arial" w:cs="Arial"/>
                <w:noProof/>
                <w:webHidden/>
                <w:sz w:val="24"/>
                <w:szCs w:val="24"/>
              </w:rPr>
              <w:fldChar w:fldCharType="end"/>
            </w:r>
          </w:hyperlink>
        </w:p>
        <w:p w14:paraId="52CFE3B6"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7" w:history="1">
            <w:r w:rsidRPr="007B74E4">
              <w:rPr>
                <w:rStyle w:val="Hyperlink"/>
                <w:rFonts w:ascii="Arial" w:hAnsi="Arial" w:cs="Arial"/>
                <w:noProof/>
                <w:sz w:val="24"/>
                <w:szCs w:val="24"/>
              </w:rPr>
              <w:t>Scottish firms’ international competitiveness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_Toc233124027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17</w:t>
            </w:r>
            <w:r w:rsidRPr="007B74E4">
              <w:rPr>
                <w:rFonts w:ascii="Arial" w:hAnsi="Arial" w:cs="Arial"/>
                <w:noProof/>
                <w:webHidden/>
                <w:sz w:val="24"/>
                <w:szCs w:val="24"/>
              </w:rPr>
              <w:fldChar w:fldCharType="end"/>
            </w:r>
          </w:hyperlink>
        </w:p>
        <w:p w14:paraId="0C5FAD5D"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8" w:history="1">
            <w:r w:rsidRPr="007B74E4">
              <w:rPr>
                <w:rStyle w:val="Hyperlink"/>
                <w:rFonts w:ascii="Arial" w:hAnsi="Arial" w:cs="Arial"/>
                <w:noProof/>
                <w:sz w:val="24"/>
                <w:szCs w:val="24"/>
              </w:rPr>
              <w:t>Small business impacts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_Toc233124028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18</w:t>
            </w:r>
            <w:r w:rsidRPr="007B74E4">
              <w:rPr>
                <w:rFonts w:ascii="Arial" w:hAnsi="Arial" w:cs="Arial"/>
                <w:noProof/>
                <w:webHidden/>
                <w:sz w:val="24"/>
                <w:szCs w:val="24"/>
              </w:rPr>
              <w:fldChar w:fldCharType="end"/>
            </w:r>
          </w:hyperlink>
        </w:p>
        <w:p w14:paraId="4D8A8002"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29" w:history="1">
            <w:r w:rsidRPr="007B74E4">
              <w:rPr>
                <w:rStyle w:val="Hyperlink"/>
                <w:rFonts w:ascii="Arial" w:hAnsi="Arial" w:cs="Arial"/>
                <w:noProof/>
                <w:sz w:val="24"/>
                <w:szCs w:val="24"/>
              </w:rPr>
              <w:t>Investment</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_Toc233124029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18</w:t>
            </w:r>
            <w:r w:rsidRPr="007B74E4">
              <w:rPr>
                <w:rFonts w:ascii="Arial" w:hAnsi="Arial" w:cs="Arial"/>
                <w:noProof/>
                <w:webHidden/>
                <w:sz w:val="24"/>
                <w:szCs w:val="24"/>
              </w:rPr>
              <w:fldChar w:fldCharType="end"/>
            </w:r>
          </w:hyperlink>
        </w:p>
        <w:p w14:paraId="555DA18B"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0" w:history="1">
            <w:r w:rsidRPr="007B74E4">
              <w:rPr>
                <w:rStyle w:val="Hyperlink"/>
                <w:rFonts w:ascii="Arial" w:hAnsi="Arial" w:cs="Arial"/>
                <w:noProof/>
                <w:sz w:val="24"/>
                <w:szCs w:val="24"/>
              </w:rPr>
              <w:t>Workforce and Fair Work</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_Toc233124030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18</w:t>
            </w:r>
            <w:r w:rsidRPr="007B74E4">
              <w:rPr>
                <w:rFonts w:ascii="Arial" w:hAnsi="Arial" w:cs="Arial"/>
                <w:noProof/>
                <w:webHidden/>
                <w:sz w:val="24"/>
                <w:szCs w:val="24"/>
              </w:rPr>
              <w:fldChar w:fldCharType="end"/>
            </w:r>
          </w:hyperlink>
        </w:p>
        <w:p w14:paraId="040B4304"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1" w:history="1">
            <w:r w:rsidRPr="007B74E4">
              <w:rPr>
                <w:rStyle w:val="Hyperlink"/>
                <w:rFonts w:ascii="Arial" w:hAnsi="Arial" w:cs="Arial"/>
                <w:noProof/>
                <w:sz w:val="24"/>
                <w:szCs w:val="24"/>
              </w:rPr>
              <w:t>Climate change/ Circular Economy</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_Toc233124031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19</w:t>
            </w:r>
            <w:r w:rsidRPr="007B74E4">
              <w:rPr>
                <w:rFonts w:ascii="Arial" w:hAnsi="Arial" w:cs="Arial"/>
                <w:noProof/>
                <w:webHidden/>
                <w:sz w:val="24"/>
                <w:szCs w:val="24"/>
              </w:rPr>
              <w:fldChar w:fldCharType="end"/>
            </w:r>
          </w:hyperlink>
        </w:p>
        <w:p w14:paraId="3F16AB0C"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2" w:history="1">
            <w:r w:rsidRPr="007B74E4">
              <w:rPr>
                <w:rStyle w:val="Hyperlink"/>
                <w:rFonts w:ascii="Arial" w:hAnsi="Arial" w:cs="Arial"/>
                <w:noProof/>
                <w:sz w:val="24"/>
                <w:szCs w:val="24"/>
              </w:rPr>
              <w:t>Competition Assessment</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_Toc233124032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20</w:t>
            </w:r>
            <w:r w:rsidRPr="007B74E4">
              <w:rPr>
                <w:rFonts w:ascii="Arial" w:hAnsi="Arial" w:cs="Arial"/>
                <w:noProof/>
                <w:webHidden/>
                <w:sz w:val="24"/>
                <w:szCs w:val="24"/>
              </w:rPr>
              <w:fldChar w:fldCharType="end"/>
            </w:r>
          </w:hyperlink>
        </w:p>
        <w:p w14:paraId="63ACC6D8"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3" w:history="1">
            <w:r w:rsidRPr="007B74E4">
              <w:rPr>
                <w:rStyle w:val="Hyperlink"/>
                <w:rFonts w:ascii="Arial" w:hAnsi="Arial" w:cs="Arial"/>
                <w:noProof/>
                <w:sz w:val="24"/>
                <w:szCs w:val="24"/>
              </w:rPr>
              <w:t>Consumer Duty</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_Toc233124033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20</w:t>
            </w:r>
            <w:r w:rsidRPr="007B74E4">
              <w:rPr>
                <w:rFonts w:ascii="Arial" w:hAnsi="Arial" w:cs="Arial"/>
                <w:noProof/>
                <w:webHidden/>
                <w:sz w:val="24"/>
                <w:szCs w:val="24"/>
              </w:rPr>
              <w:fldChar w:fldCharType="end"/>
            </w:r>
          </w:hyperlink>
        </w:p>
        <w:p w14:paraId="7655445A"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34" w:history="1">
            <w:r w:rsidRPr="007B74E4">
              <w:rPr>
                <w:rStyle w:val="Hyperlink"/>
                <w:rFonts w:ascii="Arial" w:hAnsi="Arial" w:cs="Arial"/>
                <w:noProof/>
                <w:sz w:val="24"/>
                <w:szCs w:val="24"/>
              </w:rPr>
              <w:t>Section 4: Additional implementation considerations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_Toc233124034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22</w:t>
            </w:r>
            <w:r w:rsidRPr="007B74E4">
              <w:rPr>
                <w:rFonts w:ascii="Arial" w:hAnsi="Arial" w:cs="Arial"/>
                <w:noProof/>
                <w:webHidden/>
                <w:sz w:val="24"/>
                <w:szCs w:val="24"/>
              </w:rPr>
              <w:fldChar w:fldCharType="end"/>
            </w:r>
          </w:hyperlink>
        </w:p>
        <w:p w14:paraId="402C2283"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5" w:history="1">
            <w:r w:rsidRPr="007B74E4">
              <w:rPr>
                <w:rStyle w:val="Hyperlink"/>
                <w:rFonts w:ascii="Arial" w:hAnsi="Arial" w:cs="Arial"/>
                <w:noProof/>
                <w:sz w:val="24"/>
                <w:szCs w:val="24"/>
              </w:rPr>
              <w:t>Enforcement/ compliance</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_Toc233124035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22</w:t>
            </w:r>
            <w:r w:rsidRPr="007B74E4">
              <w:rPr>
                <w:rFonts w:ascii="Arial" w:hAnsi="Arial" w:cs="Arial"/>
                <w:noProof/>
                <w:webHidden/>
                <w:sz w:val="24"/>
                <w:szCs w:val="24"/>
              </w:rPr>
              <w:fldChar w:fldCharType="end"/>
            </w:r>
          </w:hyperlink>
        </w:p>
        <w:p w14:paraId="7834D221"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36" w:history="1">
            <w:r w:rsidRPr="007B74E4">
              <w:rPr>
                <w:rStyle w:val="Hyperlink"/>
                <w:rFonts w:ascii="Arial" w:hAnsi="Arial" w:cs="Arial"/>
                <w:noProof/>
                <w:sz w:val="24"/>
                <w:szCs w:val="24"/>
              </w:rPr>
              <w:t>UK, EU and International Regulatory Alignment and Obligations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_Toc233124036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23</w:t>
            </w:r>
            <w:r w:rsidRPr="007B74E4">
              <w:rPr>
                <w:rFonts w:ascii="Arial" w:hAnsi="Arial" w:cs="Arial"/>
                <w:noProof/>
                <w:webHidden/>
                <w:sz w:val="24"/>
                <w:szCs w:val="24"/>
              </w:rPr>
              <w:fldChar w:fldCharType="end"/>
            </w:r>
          </w:hyperlink>
        </w:p>
        <w:p w14:paraId="1D6E3453" w14:textId="77777777" w:rsidR="005927ED" w:rsidRPr="007B74E4" w:rsidRDefault="005927ED" w:rsidP="005927ED">
          <w:pPr>
            <w:pStyle w:val="TOC3"/>
            <w:tabs>
              <w:tab w:val="right" w:leader="dot" w:pos="9016"/>
            </w:tabs>
            <w:rPr>
              <w:rFonts w:ascii="Arial" w:eastAsiaTheme="minorEastAsia" w:hAnsi="Arial" w:cs="Arial"/>
              <w:noProof/>
              <w:sz w:val="24"/>
              <w:szCs w:val="24"/>
              <w:lang w:eastAsia="en-GB"/>
            </w:rPr>
          </w:pPr>
          <w:hyperlink w:anchor="_Toc233124037" w:history="1">
            <w:r w:rsidRPr="007B74E4">
              <w:rPr>
                <w:rStyle w:val="Hyperlink"/>
                <w:rFonts w:ascii="Arial" w:hAnsi="Arial" w:cs="Arial"/>
                <w:noProof/>
                <w:sz w:val="24"/>
                <w:szCs w:val="24"/>
              </w:rPr>
              <w:t>Internal Market/ Intra-UK Trade</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_Toc233124037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23</w:t>
            </w:r>
            <w:r w:rsidRPr="007B74E4">
              <w:rPr>
                <w:rFonts w:ascii="Arial" w:hAnsi="Arial" w:cs="Arial"/>
                <w:noProof/>
                <w:webHidden/>
                <w:sz w:val="24"/>
                <w:szCs w:val="24"/>
              </w:rPr>
              <w:fldChar w:fldCharType="end"/>
            </w:r>
          </w:hyperlink>
        </w:p>
        <w:p w14:paraId="27DA2334" w14:textId="77777777" w:rsidR="005927ED" w:rsidRPr="007B74E4" w:rsidRDefault="005927ED" w:rsidP="005927ED">
          <w:pPr>
            <w:pStyle w:val="TOC3"/>
            <w:tabs>
              <w:tab w:val="right" w:leader="dot" w:pos="9016"/>
            </w:tabs>
            <w:rPr>
              <w:rFonts w:ascii="Arial" w:eastAsiaTheme="minorEastAsia" w:hAnsi="Arial" w:cs="Arial"/>
              <w:noProof/>
              <w:sz w:val="24"/>
              <w:szCs w:val="24"/>
              <w:lang w:eastAsia="en-GB"/>
            </w:rPr>
          </w:pPr>
          <w:hyperlink w:anchor="_Toc233124038" w:history="1">
            <w:r w:rsidRPr="007B74E4">
              <w:rPr>
                <w:rStyle w:val="Hyperlink"/>
                <w:rFonts w:ascii="Arial" w:hAnsi="Arial" w:cs="Arial"/>
                <w:noProof/>
                <w:sz w:val="24"/>
                <w:szCs w:val="24"/>
              </w:rPr>
              <w:t>International Trade Implications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_Toc233124038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23</w:t>
            </w:r>
            <w:r w:rsidRPr="007B74E4">
              <w:rPr>
                <w:rFonts w:ascii="Arial" w:hAnsi="Arial" w:cs="Arial"/>
                <w:noProof/>
                <w:webHidden/>
                <w:sz w:val="24"/>
                <w:szCs w:val="24"/>
              </w:rPr>
              <w:fldChar w:fldCharType="end"/>
            </w:r>
          </w:hyperlink>
        </w:p>
        <w:p w14:paraId="76854D91" w14:textId="77777777" w:rsidR="005927ED" w:rsidRPr="007B74E4" w:rsidRDefault="005927ED" w:rsidP="005927ED">
          <w:pPr>
            <w:pStyle w:val="TOC3"/>
            <w:tabs>
              <w:tab w:val="right" w:leader="dot" w:pos="9016"/>
            </w:tabs>
            <w:rPr>
              <w:rFonts w:ascii="Arial" w:eastAsiaTheme="minorEastAsia" w:hAnsi="Arial" w:cs="Arial"/>
              <w:noProof/>
              <w:sz w:val="24"/>
              <w:szCs w:val="24"/>
              <w:lang w:eastAsia="en-GB"/>
            </w:rPr>
          </w:pPr>
          <w:hyperlink w:anchor="_Toc233124039" w:history="1">
            <w:r w:rsidRPr="007B74E4">
              <w:rPr>
                <w:rStyle w:val="Hyperlink"/>
                <w:rFonts w:ascii="Arial" w:hAnsi="Arial" w:cs="Arial"/>
                <w:noProof/>
                <w:sz w:val="24"/>
                <w:szCs w:val="24"/>
              </w:rPr>
              <w:t>EU Alignment consideration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_Toc233124039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23</w:t>
            </w:r>
            <w:r w:rsidRPr="007B74E4">
              <w:rPr>
                <w:rFonts w:ascii="Arial" w:hAnsi="Arial" w:cs="Arial"/>
                <w:noProof/>
                <w:webHidden/>
                <w:sz w:val="24"/>
                <w:szCs w:val="24"/>
              </w:rPr>
              <w:fldChar w:fldCharType="end"/>
            </w:r>
          </w:hyperlink>
        </w:p>
        <w:p w14:paraId="72FD9F0C"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0" w:history="1">
            <w:r w:rsidRPr="007B74E4">
              <w:rPr>
                <w:rStyle w:val="Hyperlink"/>
                <w:rFonts w:ascii="Arial" w:hAnsi="Arial" w:cs="Arial"/>
                <w:noProof/>
                <w:sz w:val="24"/>
                <w:szCs w:val="24"/>
              </w:rPr>
              <w:t>Legal Aid</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_Toc233124040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06CB7471"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1" w:history="1">
            <w:r w:rsidRPr="007B74E4">
              <w:rPr>
                <w:rStyle w:val="Hyperlink"/>
                <w:rFonts w:ascii="Arial" w:hAnsi="Arial" w:cs="Arial"/>
                <w:noProof/>
                <w:sz w:val="24"/>
                <w:szCs w:val="24"/>
              </w:rPr>
              <w:t>Digital impact</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_Toc233124041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463EC7E0"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2" w:history="1">
            <w:r w:rsidRPr="007B74E4">
              <w:rPr>
                <w:rStyle w:val="Hyperlink"/>
                <w:rFonts w:ascii="Arial" w:hAnsi="Arial" w:cs="Arial"/>
                <w:noProof/>
                <w:sz w:val="24"/>
                <w:szCs w:val="24"/>
              </w:rPr>
              <w:t>Business forms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_Toc233124042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7186B862"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43" w:history="1">
            <w:r w:rsidRPr="007B74E4">
              <w:rPr>
                <w:rStyle w:val="Hyperlink"/>
                <w:rFonts w:ascii="Arial" w:hAnsi="Arial" w:cs="Arial"/>
                <w:noProof/>
                <w:sz w:val="24"/>
                <w:szCs w:val="24"/>
              </w:rPr>
              <w:t>Section 5: Next steps and implementation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_Toc233124043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585C89E7"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4" w:history="1">
            <w:r w:rsidRPr="007B74E4">
              <w:rPr>
                <w:rStyle w:val="Hyperlink"/>
                <w:rFonts w:ascii="Arial" w:hAnsi="Arial" w:cs="Arial"/>
                <w:noProof/>
                <w:sz w:val="24"/>
                <w:szCs w:val="24"/>
              </w:rPr>
              <w:t>Recommendations/ preferred options</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_Toc233124044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712337F5"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5" w:history="1">
            <w:r w:rsidRPr="007B74E4">
              <w:rPr>
                <w:rStyle w:val="Hyperlink"/>
                <w:rFonts w:ascii="Arial" w:hAnsi="Arial" w:cs="Arial"/>
                <w:noProof/>
                <w:sz w:val="24"/>
                <w:szCs w:val="24"/>
              </w:rPr>
              <w:t>Implementation considerations/ plan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_Toc233124045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24</w:t>
            </w:r>
            <w:r w:rsidRPr="007B74E4">
              <w:rPr>
                <w:rFonts w:ascii="Arial" w:hAnsi="Arial" w:cs="Arial"/>
                <w:noProof/>
                <w:webHidden/>
                <w:sz w:val="24"/>
                <w:szCs w:val="24"/>
              </w:rPr>
              <w:fldChar w:fldCharType="end"/>
            </w:r>
          </w:hyperlink>
        </w:p>
        <w:p w14:paraId="6F26B86C" w14:textId="77777777" w:rsidR="005927ED" w:rsidRPr="007B74E4" w:rsidRDefault="005927ED" w:rsidP="005927ED">
          <w:pPr>
            <w:pStyle w:val="TOC2"/>
            <w:tabs>
              <w:tab w:val="right" w:leader="dot" w:pos="9016"/>
            </w:tabs>
            <w:rPr>
              <w:rFonts w:ascii="Arial" w:eastAsiaTheme="minorEastAsia" w:hAnsi="Arial" w:cs="Arial"/>
              <w:noProof/>
              <w:sz w:val="24"/>
              <w:szCs w:val="24"/>
              <w:lang w:eastAsia="en-GB"/>
            </w:rPr>
          </w:pPr>
          <w:hyperlink w:anchor="_Toc233124046" w:history="1">
            <w:r w:rsidRPr="007B74E4">
              <w:rPr>
                <w:rStyle w:val="Hyperlink"/>
                <w:rFonts w:ascii="Arial" w:hAnsi="Arial" w:cs="Arial"/>
                <w:noProof/>
                <w:sz w:val="24"/>
                <w:szCs w:val="24"/>
              </w:rPr>
              <w:t>Post implementation review</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_Toc233124046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26</w:t>
            </w:r>
            <w:r w:rsidRPr="007B74E4">
              <w:rPr>
                <w:rFonts w:ascii="Arial" w:hAnsi="Arial" w:cs="Arial"/>
                <w:noProof/>
                <w:webHidden/>
                <w:sz w:val="24"/>
                <w:szCs w:val="24"/>
              </w:rPr>
              <w:fldChar w:fldCharType="end"/>
            </w:r>
          </w:hyperlink>
        </w:p>
        <w:p w14:paraId="3B7E0258" w14:textId="77777777" w:rsidR="005927ED" w:rsidRPr="007B74E4" w:rsidRDefault="005927ED" w:rsidP="005927ED">
          <w:pPr>
            <w:pStyle w:val="TOC1"/>
            <w:tabs>
              <w:tab w:val="right" w:leader="dot" w:pos="9016"/>
            </w:tabs>
            <w:rPr>
              <w:rFonts w:ascii="Arial" w:eastAsiaTheme="minorEastAsia" w:hAnsi="Arial" w:cs="Arial"/>
              <w:noProof/>
              <w:sz w:val="24"/>
              <w:szCs w:val="24"/>
              <w:lang w:eastAsia="en-GB"/>
            </w:rPr>
          </w:pPr>
          <w:hyperlink w:anchor="_Toc233124047" w:history="1">
            <w:r w:rsidRPr="007B74E4">
              <w:rPr>
                <w:rStyle w:val="Hyperlink"/>
                <w:rFonts w:ascii="Arial" w:hAnsi="Arial" w:cs="Arial"/>
                <w:noProof/>
                <w:sz w:val="24"/>
                <w:szCs w:val="24"/>
              </w:rPr>
              <w:t>Declaration</w:t>
            </w:r>
            <w:r w:rsidRPr="007B74E4">
              <w:rPr>
                <w:rFonts w:ascii="Arial" w:hAnsi="Arial" w:cs="Arial"/>
                <w:noProof/>
                <w:webHidden/>
                <w:sz w:val="24"/>
                <w:szCs w:val="24"/>
              </w:rPr>
              <w:tab/>
            </w:r>
            <w:r w:rsidRPr="007B74E4">
              <w:rPr>
                <w:rFonts w:ascii="Arial" w:hAnsi="Arial" w:cs="Arial"/>
                <w:noProof/>
                <w:webHidden/>
                <w:sz w:val="24"/>
                <w:szCs w:val="24"/>
              </w:rPr>
              <w:fldChar w:fldCharType="begin"/>
            </w:r>
            <w:r w:rsidRPr="007B74E4">
              <w:rPr>
                <w:rFonts w:ascii="Arial" w:hAnsi="Arial" w:cs="Arial"/>
                <w:noProof/>
                <w:webHidden/>
                <w:sz w:val="24"/>
                <w:szCs w:val="24"/>
              </w:rPr>
              <w:instrText xml:space="preserve"> PAGEREF _Toc233124047 \h </w:instrText>
            </w:r>
            <w:r w:rsidRPr="007B74E4">
              <w:rPr>
                <w:rFonts w:ascii="Arial" w:hAnsi="Arial" w:cs="Arial"/>
                <w:noProof/>
                <w:webHidden/>
                <w:sz w:val="24"/>
                <w:szCs w:val="24"/>
              </w:rPr>
            </w:r>
            <w:r w:rsidRPr="007B74E4">
              <w:rPr>
                <w:rFonts w:ascii="Arial" w:hAnsi="Arial" w:cs="Arial"/>
                <w:noProof/>
                <w:webHidden/>
                <w:sz w:val="24"/>
                <w:szCs w:val="24"/>
              </w:rPr>
              <w:fldChar w:fldCharType="separate"/>
            </w:r>
            <w:r w:rsidRPr="007B74E4">
              <w:rPr>
                <w:rFonts w:ascii="Arial" w:hAnsi="Arial" w:cs="Arial"/>
                <w:noProof/>
                <w:webHidden/>
                <w:sz w:val="24"/>
                <w:szCs w:val="24"/>
              </w:rPr>
              <w:t>28</w:t>
            </w:r>
            <w:r w:rsidRPr="007B74E4">
              <w:rPr>
                <w:rFonts w:ascii="Arial" w:hAnsi="Arial" w:cs="Arial"/>
                <w:noProof/>
                <w:webHidden/>
                <w:sz w:val="24"/>
                <w:szCs w:val="24"/>
              </w:rPr>
              <w:fldChar w:fldCharType="end"/>
            </w:r>
          </w:hyperlink>
        </w:p>
        <w:p w14:paraId="6C2CAE3A" w14:textId="77777777" w:rsidR="005927ED" w:rsidRPr="007B74E4" w:rsidRDefault="005927ED" w:rsidP="005927ED">
          <w:pPr>
            <w:rPr>
              <w:rFonts w:ascii="Arial" w:hAnsi="Arial" w:cs="Arial"/>
            </w:rPr>
          </w:pPr>
          <w:r w:rsidRPr="007B74E4">
            <w:rPr>
              <w:rFonts w:ascii="Arial" w:hAnsi="Arial" w:cs="Arial"/>
              <w:b/>
              <w:bCs/>
              <w:sz w:val="24"/>
              <w:szCs w:val="24"/>
            </w:rPr>
            <w:fldChar w:fldCharType="end"/>
          </w:r>
        </w:p>
      </w:sdtContent>
    </w:sdt>
    <w:p w14:paraId="0924D31F" w14:textId="77777777" w:rsidR="005927ED" w:rsidRPr="007B74E4" w:rsidRDefault="005927ED" w:rsidP="005927ED">
      <w:pPr>
        <w:pStyle w:val="Explanatorytext"/>
        <w:spacing w:after="0"/>
        <w:sectPr w:rsidR="005927ED" w:rsidRPr="007B74E4" w:rsidSect="005927ED">
          <w:footerReference w:type="default" r:id="rId13"/>
          <w:pgSz w:w="11906" w:h="16838" w:code="9"/>
          <w:pgMar w:top="1440" w:right="1440" w:bottom="1440" w:left="1440" w:header="720" w:footer="720" w:gutter="0"/>
          <w:cols w:space="708"/>
          <w:docGrid w:linePitch="360"/>
        </w:sectPr>
      </w:pPr>
    </w:p>
    <w:p w14:paraId="64C3FD0A" w14:textId="77777777" w:rsidR="005927ED" w:rsidRPr="007B74E4" w:rsidRDefault="005927ED" w:rsidP="005927ED">
      <w:pPr>
        <w:pStyle w:val="Head1"/>
      </w:pPr>
      <w:bookmarkStart w:id="0" w:name="_Toc233124012"/>
      <w:bookmarkStart w:id="1" w:name="_Toc233124011"/>
      <w:r w:rsidRPr="007B74E4">
        <w:lastRenderedPageBreak/>
        <w:t>Executive summary</w:t>
      </w:r>
      <w:bookmarkEnd w:id="0"/>
    </w:p>
    <w:p w14:paraId="4DCF4BFD" w14:textId="77777777" w:rsidR="005927ED" w:rsidRPr="007B74E4" w:rsidRDefault="005927ED" w:rsidP="005927ED">
      <w:pPr>
        <w:rPr>
          <w:rFonts w:ascii="Arial" w:hAnsi="Arial" w:cs="Arial"/>
        </w:rPr>
      </w:pPr>
    </w:p>
    <w:p w14:paraId="24A2FD35" w14:textId="77777777" w:rsidR="005927ED" w:rsidRPr="007B74E4" w:rsidRDefault="005927ED" w:rsidP="005927ED">
      <w:pPr>
        <w:rPr>
          <w:rFonts w:ascii="Arial" w:hAnsi="Arial" w:cs="Arial"/>
          <w:sz w:val="24"/>
          <w:szCs w:val="24"/>
        </w:rPr>
      </w:pPr>
      <w:r w:rsidRPr="007B74E4">
        <w:rPr>
          <w:rFonts w:ascii="Arial" w:hAnsi="Arial" w:cs="Arial"/>
          <w:sz w:val="24"/>
          <w:szCs w:val="24"/>
        </w:rPr>
        <w:t>This partial BRIA describes the anticipated economic impact of the five pelagic FMPs on the fishing sector and associated businesses. The pelagic FMPs do not result in direct measurable impacts at this stage because the FMPs do not result in new regulation upon publication. Therefore, this document is a narrative assessment and does not include monetised or quantified costs to businesses. As specific actions are implemented, further impact assessments (by all relevant authorities) will be completed that include a more complete assessment of the monetised costs to business associated with that action.</w:t>
      </w:r>
    </w:p>
    <w:p w14:paraId="1BD89AFF" w14:textId="77777777" w:rsidR="005927ED" w:rsidRPr="007B74E4" w:rsidRDefault="005927ED" w:rsidP="005927ED">
      <w:pPr>
        <w:rPr>
          <w:rFonts w:ascii="Arial" w:hAnsi="Arial" w:cs="Arial"/>
          <w:sz w:val="24"/>
          <w:szCs w:val="24"/>
        </w:rPr>
      </w:pPr>
    </w:p>
    <w:p w14:paraId="5FBED9B7" w14:textId="77777777" w:rsidR="005927ED" w:rsidRPr="007B74E4" w:rsidRDefault="005927ED" w:rsidP="005927ED">
      <w:pPr>
        <w:rPr>
          <w:rFonts w:ascii="Arial" w:hAnsi="Arial" w:cs="Arial"/>
          <w:sz w:val="24"/>
          <w:szCs w:val="24"/>
        </w:rPr>
      </w:pPr>
      <w:r w:rsidRPr="007B74E4">
        <w:rPr>
          <w:rFonts w:ascii="Arial" w:hAnsi="Arial" w:cs="Arial"/>
          <w:sz w:val="24"/>
          <w:szCs w:val="24"/>
        </w:rPr>
        <w:t>The following options have been considered as part of the partial BRIA:</w:t>
      </w:r>
    </w:p>
    <w:p w14:paraId="37B31A59" w14:textId="77777777" w:rsidR="005927ED" w:rsidRPr="007B74E4" w:rsidRDefault="005927ED" w:rsidP="005927ED">
      <w:pPr>
        <w:rPr>
          <w:rFonts w:ascii="Arial" w:hAnsi="Arial" w:cs="Arial"/>
          <w:sz w:val="24"/>
          <w:szCs w:val="24"/>
        </w:rPr>
      </w:pPr>
    </w:p>
    <w:p w14:paraId="6D068C24"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1 (preferred option): Publication of pelagic FMPs</w:t>
      </w:r>
    </w:p>
    <w:p w14:paraId="2F3B29AE" w14:textId="77777777" w:rsidR="005927ED" w:rsidRPr="007B74E4" w:rsidRDefault="005927ED" w:rsidP="005927ED">
      <w:pPr>
        <w:rPr>
          <w:rFonts w:ascii="Arial" w:hAnsi="Arial" w:cs="Arial"/>
          <w:sz w:val="24"/>
          <w:szCs w:val="24"/>
        </w:rPr>
      </w:pPr>
    </w:p>
    <w:p w14:paraId="0BBAC192" w14:textId="77777777" w:rsidR="005927ED" w:rsidRPr="007B74E4" w:rsidRDefault="005927ED" w:rsidP="005927ED">
      <w:pPr>
        <w:rPr>
          <w:rFonts w:ascii="Arial" w:hAnsi="Arial" w:cs="Arial"/>
          <w:sz w:val="24"/>
          <w:szCs w:val="24"/>
        </w:rPr>
      </w:pPr>
      <w:bookmarkStart w:id="2" w:name="_Hlk208569217"/>
      <w:r w:rsidRPr="007B74E4">
        <w:rPr>
          <w:rFonts w:ascii="Arial" w:hAnsi="Arial" w:cs="Arial"/>
          <w:sz w:val="24"/>
          <w:szCs w:val="24"/>
        </w:rPr>
        <w:t xml:space="preserve">It is considered that pursuing Option 1 and publishing the pelagic FMPs would enable the Scottish Government (and the other relevant authorities in the UK) to </w:t>
      </w:r>
      <w:bookmarkEnd w:id="2"/>
      <w:r w:rsidRPr="007B74E4">
        <w:rPr>
          <w:rFonts w:ascii="Arial" w:hAnsi="Arial" w:cs="Arial"/>
          <w:sz w:val="24"/>
          <w:szCs w:val="24"/>
        </w:rPr>
        <w:t xml:space="preserve">support </w:t>
      </w:r>
      <w:bookmarkStart w:id="3" w:name="_Hlk208569267"/>
      <w:r w:rsidRPr="007B74E4">
        <w:rPr>
          <w:rFonts w:ascii="Arial" w:hAnsi="Arial" w:cs="Arial"/>
          <w:sz w:val="24"/>
          <w:szCs w:val="24"/>
        </w:rPr>
        <w:t>delivery of sustainable fisheries for current and future generations</w:t>
      </w:r>
      <w:bookmarkEnd w:id="3"/>
      <w:r w:rsidRPr="007B74E4">
        <w:rPr>
          <w:rFonts w:ascii="Arial" w:hAnsi="Arial" w:cs="Arial"/>
          <w:sz w:val="24"/>
          <w:szCs w:val="24"/>
        </w:rPr>
        <w:t>. Option 1 would also comply with the statutory obligation in the 2020 Act to prepare and publish the FMPs (the FMPs having been included in the JFS November 2022 and amended in December 2024).</w:t>
      </w:r>
    </w:p>
    <w:p w14:paraId="16A0AAD9" w14:textId="77777777" w:rsidR="005927ED" w:rsidRPr="007B74E4" w:rsidRDefault="005927ED" w:rsidP="005927ED">
      <w:pPr>
        <w:rPr>
          <w:rFonts w:ascii="Arial" w:hAnsi="Arial" w:cs="Arial"/>
          <w:sz w:val="24"/>
          <w:szCs w:val="24"/>
        </w:rPr>
      </w:pPr>
    </w:p>
    <w:p w14:paraId="2CC71223" w14:textId="77777777" w:rsidR="005927ED" w:rsidRPr="007B74E4" w:rsidRDefault="005927ED" w:rsidP="005927ED">
      <w:pPr>
        <w:rPr>
          <w:rFonts w:ascii="Arial" w:hAnsi="Arial" w:cs="Arial"/>
          <w:sz w:val="24"/>
          <w:szCs w:val="24"/>
        </w:rPr>
      </w:pPr>
      <w:r w:rsidRPr="007B74E4">
        <w:rPr>
          <w:rFonts w:ascii="Arial" w:hAnsi="Arial" w:cs="Arial"/>
          <w:sz w:val="24"/>
          <w:szCs w:val="24"/>
        </w:rPr>
        <w:t>As noted above, the FMPs themselves will not introduce any new regulatory measures upon publication, accordingly it is not considered their publication would introduce additional costs. The costs associated with adhering to measures which may be developed through actions identified within the FMPs</w:t>
      </w:r>
      <w:r w:rsidRPr="007B74E4" w:rsidDel="000139B5">
        <w:rPr>
          <w:rFonts w:ascii="Arial" w:hAnsi="Arial" w:cs="Arial"/>
          <w:sz w:val="24"/>
          <w:szCs w:val="24"/>
        </w:rPr>
        <w:t xml:space="preserve"> </w:t>
      </w:r>
      <w:r w:rsidRPr="007B74E4">
        <w:rPr>
          <w:rFonts w:ascii="Arial" w:hAnsi="Arial" w:cs="Arial"/>
          <w:sz w:val="24"/>
          <w:szCs w:val="24"/>
        </w:rPr>
        <w:t xml:space="preserve">depend on the specifics of the measures which are subsequently proposed. As these are currently unknown, they cannot be identified or quantified. However, future costs could materialise through a change in landings profile, a change of fishing area, or the cost of complying with new gear and equipment regulations, as well as the subsequent overhead costs such activities might incur. </w:t>
      </w:r>
    </w:p>
    <w:p w14:paraId="6C0F913E" w14:textId="77777777" w:rsidR="005927ED" w:rsidRPr="007B74E4" w:rsidRDefault="005927ED" w:rsidP="005927ED">
      <w:pPr>
        <w:rPr>
          <w:rFonts w:ascii="Arial" w:hAnsi="Arial" w:cs="Arial"/>
          <w:sz w:val="24"/>
          <w:szCs w:val="24"/>
        </w:rPr>
      </w:pPr>
    </w:p>
    <w:p w14:paraId="2C43F122" w14:textId="77777777" w:rsidR="005927ED" w:rsidRPr="007B74E4" w:rsidRDefault="005927ED" w:rsidP="005927ED">
      <w:pPr>
        <w:rPr>
          <w:rFonts w:ascii="Arial" w:hAnsi="Arial" w:cs="Arial"/>
          <w:sz w:val="24"/>
          <w:szCs w:val="24"/>
        </w:rPr>
      </w:pPr>
      <w:r w:rsidRPr="007B74E4">
        <w:rPr>
          <w:rFonts w:ascii="Arial" w:hAnsi="Arial" w:cs="Arial"/>
          <w:sz w:val="24"/>
          <w:szCs w:val="24"/>
        </w:rPr>
        <w:t>The benefits associated with measures which are developed from the actions which are identified in the FMPs following their publication depend on the specific measures proposed. As these are currently unknown, the benefits cannot be identified or quantified at this time but are anticipated to materialise in the form of sustainable fishing opportunities that will provide long-term economic stability to the sector. There may also be environmental benefits realised through improving the underpinning evidence base, facilitating management decision making that considers a wider and improved range of fisheries and environmental data.</w:t>
      </w:r>
    </w:p>
    <w:p w14:paraId="458677B3" w14:textId="77777777" w:rsidR="005927ED" w:rsidRPr="007B74E4" w:rsidRDefault="005927ED" w:rsidP="005927ED">
      <w:pPr>
        <w:rPr>
          <w:rFonts w:ascii="Arial" w:hAnsi="Arial" w:cs="Arial"/>
          <w:sz w:val="24"/>
          <w:szCs w:val="24"/>
        </w:rPr>
      </w:pPr>
    </w:p>
    <w:p w14:paraId="52AAD968" w14:textId="77777777" w:rsidR="005927ED" w:rsidRPr="007B74E4" w:rsidRDefault="005927ED" w:rsidP="005927ED">
      <w:pPr>
        <w:rPr>
          <w:rFonts w:ascii="Arial" w:hAnsi="Arial" w:cs="Arial"/>
          <w:sz w:val="24"/>
          <w:szCs w:val="24"/>
        </w:rPr>
      </w:pPr>
      <w:r w:rsidRPr="007B74E4">
        <w:rPr>
          <w:rFonts w:ascii="Arial" w:hAnsi="Arial" w:cs="Arial"/>
          <w:sz w:val="24"/>
          <w:szCs w:val="24"/>
        </w:rPr>
        <w:t>Option 1 - Publication of pelagic FMPs – is recommended.</w:t>
      </w:r>
    </w:p>
    <w:p w14:paraId="7F633A47" w14:textId="77777777" w:rsidR="005927ED" w:rsidRPr="007B74E4" w:rsidRDefault="005927ED" w:rsidP="005927ED">
      <w:pPr>
        <w:rPr>
          <w:rFonts w:ascii="Arial" w:hAnsi="Arial" w:cs="Arial"/>
          <w:b/>
          <w:bCs/>
          <w:sz w:val="24"/>
          <w:szCs w:val="24"/>
        </w:rPr>
      </w:pPr>
    </w:p>
    <w:p w14:paraId="1CBFAB48"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2: Business as Usual (Do Nothing) – No pelagic FMPs published.</w:t>
      </w:r>
    </w:p>
    <w:p w14:paraId="001ABBCE" w14:textId="77777777" w:rsidR="005927ED" w:rsidRPr="007B74E4" w:rsidRDefault="005927ED" w:rsidP="005927ED">
      <w:pPr>
        <w:rPr>
          <w:rFonts w:ascii="Arial" w:hAnsi="Arial" w:cs="Arial"/>
          <w:sz w:val="24"/>
          <w:szCs w:val="24"/>
        </w:rPr>
      </w:pPr>
    </w:p>
    <w:p w14:paraId="1CA38EBA"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Scottish Government (and the other relevant authorities in the UK) have obligations arising from the 2020 Act and JFS to publish the FMPs. Before proceeding with a business as usual (BAU) option of not publishing FMPs, it would </w:t>
      </w:r>
      <w:r w:rsidRPr="007B74E4">
        <w:rPr>
          <w:rFonts w:ascii="Arial" w:hAnsi="Arial" w:cs="Arial"/>
          <w:sz w:val="24"/>
          <w:szCs w:val="24"/>
        </w:rPr>
        <w:lastRenderedPageBreak/>
        <w:t xml:space="preserve">be necessary for steps to be taken to vary the current obligations (through amendments to the JFS). </w:t>
      </w:r>
    </w:p>
    <w:p w14:paraId="49A73496" w14:textId="77777777" w:rsidR="005927ED" w:rsidRPr="007B74E4" w:rsidRDefault="005927ED" w:rsidP="005927ED">
      <w:pPr>
        <w:rPr>
          <w:rFonts w:ascii="Arial" w:hAnsi="Arial" w:cs="Arial"/>
          <w:sz w:val="24"/>
          <w:szCs w:val="24"/>
        </w:rPr>
      </w:pPr>
    </w:p>
    <w:p w14:paraId="2E993D81" w14:textId="77777777" w:rsidR="005927ED" w:rsidRPr="007B74E4" w:rsidRDefault="005927ED" w:rsidP="005927ED">
      <w:pPr>
        <w:rPr>
          <w:rFonts w:ascii="Arial" w:hAnsi="Arial" w:cs="Arial"/>
          <w:sz w:val="24"/>
          <w:szCs w:val="24"/>
        </w:rPr>
      </w:pPr>
      <w:r w:rsidRPr="007B74E4">
        <w:rPr>
          <w:rFonts w:ascii="Arial" w:hAnsi="Arial" w:cs="Arial"/>
          <w:sz w:val="24"/>
          <w:szCs w:val="24"/>
        </w:rPr>
        <w:t>As a continuation of BAU, through Option 2 is unlikely to result in any additional costs to businesses beyond those already incurred by the pelagic fishing sector, and associated business. There may be some benefit in the continuation of BAU, given that it is consistent with regulatory framework of previous years, however, the impact of this benefit is unlikely to be significantly felt by businesses. Option 2 of not publishing the FMPs would lose the benefit of enabling the Scottish Government (and the other relevant authorities in the UK) to support delivery of sustainable fisheries for current and future generations.</w:t>
      </w:r>
    </w:p>
    <w:p w14:paraId="47D93DA1" w14:textId="77777777" w:rsidR="005927ED" w:rsidRPr="007B74E4" w:rsidRDefault="005927ED" w:rsidP="005927ED">
      <w:pPr>
        <w:rPr>
          <w:rFonts w:ascii="Arial" w:hAnsi="Arial" w:cs="Arial"/>
          <w:sz w:val="24"/>
          <w:szCs w:val="24"/>
        </w:rPr>
      </w:pPr>
    </w:p>
    <w:p w14:paraId="741E1311" w14:textId="77777777" w:rsidR="005927ED" w:rsidRPr="007B74E4" w:rsidRDefault="005927ED" w:rsidP="005927ED">
      <w:pPr>
        <w:rPr>
          <w:rFonts w:ascii="Arial" w:hAnsi="Arial" w:cs="Arial"/>
          <w:sz w:val="24"/>
          <w:szCs w:val="24"/>
        </w:rPr>
      </w:pPr>
      <w:r w:rsidRPr="007B74E4">
        <w:rPr>
          <w:rFonts w:ascii="Arial" w:hAnsi="Arial" w:cs="Arial"/>
          <w:sz w:val="24"/>
          <w:szCs w:val="24"/>
        </w:rPr>
        <w:t>Option 2 – Business as Usual (do Nothing) – is not recommended.</w:t>
      </w:r>
    </w:p>
    <w:p w14:paraId="40CE5B40" w14:textId="77777777" w:rsidR="005927ED" w:rsidRPr="007B74E4" w:rsidRDefault="005927ED" w:rsidP="005927ED">
      <w:pPr>
        <w:rPr>
          <w:rFonts w:ascii="Arial" w:hAnsi="Arial" w:cs="Arial"/>
          <w:sz w:val="24"/>
          <w:szCs w:val="24"/>
        </w:rPr>
      </w:pPr>
    </w:p>
    <w:p w14:paraId="478F8BA1" w14:textId="77777777" w:rsidR="005927ED" w:rsidRPr="007B74E4" w:rsidRDefault="005927ED" w:rsidP="005927ED">
      <w:pPr>
        <w:rPr>
          <w:rFonts w:ascii="Arial" w:hAnsi="Arial" w:cs="Arial"/>
          <w:sz w:val="24"/>
          <w:szCs w:val="24"/>
        </w:rPr>
      </w:pPr>
    </w:p>
    <w:p w14:paraId="68EC701C"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Sectors affected by the policy</w:t>
      </w:r>
    </w:p>
    <w:p w14:paraId="5195CD18" w14:textId="77777777" w:rsidR="005927ED" w:rsidRPr="007B74E4" w:rsidRDefault="005927ED" w:rsidP="005927ED">
      <w:pPr>
        <w:rPr>
          <w:rFonts w:ascii="Arial" w:hAnsi="Arial" w:cs="Arial"/>
          <w:sz w:val="24"/>
          <w:szCs w:val="24"/>
        </w:rPr>
      </w:pPr>
    </w:p>
    <w:p w14:paraId="7AE9F346"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The following sectors have been identified as groups who will be affected by the proposal: </w:t>
      </w:r>
      <w:r w:rsidRPr="007B74E4">
        <w:rPr>
          <w:rFonts w:ascii="Arial" w:eastAsiaTheme="minorHAnsi" w:hAnsi="Arial" w:cs="Arial"/>
          <w:kern w:val="24"/>
          <w:sz w:val="24"/>
          <w:szCs w:val="24"/>
          <w:lang w:val="en-US"/>
          <w14:ligatures w14:val="none"/>
        </w:rPr>
        <w:t xml:space="preserve">UK pelagic fishing industry, international pelagic fishing industry operating in UK waters, and UK retailers. </w:t>
      </w:r>
      <w:r w:rsidRPr="007B74E4">
        <w:rPr>
          <w:rFonts w:ascii="Arial" w:eastAsiaTheme="minorHAnsi" w:hAnsi="Arial" w:cs="Arial"/>
          <w:kern w:val="24"/>
          <w:sz w:val="24"/>
          <w:szCs w:val="24"/>
          <w14:ligatures w14:val="none"/>
        </w:rPr>
        <w:t xml:space="preserve">Businesses will be invited to respond to the public consultation. </w:t>
      </w:r>
    </w:p>
    <w:p w14:paraId="7C26B14C" w14:textId="77777777" w:rsidR="005927ED" w:rsidRPr="007B74E4" w:rsidRDefault="005927ED" w:rsidP="005927ED">
      <w:pPr>
        <w:rPr>
          <w:rFonts w:ascii="Arial" w:hAnsi="Arial" w:cs="Arial"/>
          <w:sz w:val="24"/>
          <w:szCs w:val="24"/>
        </w:rPr>
      </w:pPr>
    </w:p>
    <w:p w14:paraId="736CADF6"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Engagement</w:t>
      </w:r>
    </w:p>
    <w:p w14:paraId="2B5AB23A" w14:textId="77777777" w:rsidR="005927ED" w:rsidRPr="007B74E4" w:rsidRDefault="005927ED" w:rsidP="005927ED">
      <w:pPr>
        <w:rPr>
          <w:rFonts w:ascii="Arial" w:hAnsi="Arial" w:cs="Arial"/>
          <w:sz w:val="24"/>
          <w:szCs w:val="24"/>
        </w:rPr>
      </w:pPr>
    </w:p>
    <w:p w14:paraId="51741849" w14:textId="77777777" w:rsidR="005927ED" w:rsidRPr="007B74E4" w:rsidRDefault="005927ED" w:rsidP="005927ED">
      <w:pPr>
        <w:spacing w:line="300" w:lineRule="atLeast"/>
        <w:rPr>
          <w:rFonts w:ascii="Arial" w:hAnsi="Arial" w:cs="Arial"/>
          <w:kern w:val="0"/>
          <w:sz w:val="24"/>
          <w:szCs w:val="24"/>
          <w:lang w:eastAsia="en-GB"/>
          <w14:ligatures w14:val="none"/>
        </w:rPr>
      </w:pPr>
      <w:r w:rsidRPr="007B74E4">
        <w:rPr>
          <w:rFonts w:ascii="Arial" w:hAnsi="Arial" w:cs="Arial"/>
          <w:kern w:val="0"/>
          <w:sz w:val="24"/>
          <w:szCs w:val="24"/>
          <w:lang w:eastAsia="en-GB"/>
          <w14:ligatures w14:val="none"/>
        </w:rPr>
        <w:t>The pelagic FMPs have been shaped by a range of stakeholder engagement initiatives, including two pre-consultation events led by the Scottish Government on 25 March 2026 with industry, eNGO, and community representatives. Feedback from these sessions informed the draft content and the development of actions, ensuring the plans reflect stakeholder knowledge and support sustainable future management. Of these FMPs Further input gathered through formal public consultation will be used to finalise the FMPs.</w:t>
      </w:r>
    </w:p>
    <w:p w14:paraId="6DD491B7" w14:textId="77777777" w:rsidR="005927ED" w:rsidRPr="007B74E4" w:rsidRDefault="005927ED" w:rsidP="005927ED">
      <w:pPr>
        <w:rPr>
          <w:rFonts w:ascii="Arial" w:hAnsi="Arial" w:cs="Arial"/>
          <w:sz w:val="24"/>
          <w:szCs w:val="24"/>
        </w:rPr>
      </w:pPr>
    </w:p>
    <w:p w14:paraId="0EE71A96"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Post implementation review</w:t>
      </w:r>
    </w:p>
    <w:p w14:paraId="52F39EC5" w14:textId="77777777" w:rsidR="005927ED" w:rsidRPr="007B74E4" w:rsidRDefault="005927ED" w:rsidP="005927ED">
      <w:pPr>
        <w:rPr>
          <w:rFonts w:ascii="Arial" w:hAnsi="Arial" w:cs="Arial"/>
          <w:sz w:val="24"/>
          <w:szCs w:val="24"/>
        </w:rPr>
      </w:pPr>
    </w:p>
    <w:p w14:paraId="671EC0D5" w14:textId="77777777" w:rsidR="005927ED" w:rsidRPr="007B74E4" w:rsidRDefault="005927ED" w:rsidP="005927ED">
      <w:pPr>
        <w:rPr>
          <w:rFonts w:ascii="Arial" w:hAnsi="Arial" w:cs="Arial"/>
          <w:sz w:val="24"/>
          <w:szCs w:val="24"/>
        </w:rPr>
      </w:pPr>
      <w:r w:rsidRPr="007B74E4">
        <w:rPr>
          <w:rFonts w:ascii="Arial" w:hAnsi="Arial" w:cs="Arial"/>
          <w:sz w:val="24"/>
          <w:szCs w:val="24"/>
        </w:rPr>
        <w:t>The policies and actions within each FMP will be reviewed as part of the three-year review cycle for the JFS. In addition, as set out within the 2020 Act and the JFS, the FMPs will be reviewed at least every six years. The review of the FMPs will include a report on individual policies and actions and whether they have been a) implemented and b) any known interactions between the actions and health of the stock.</w:t>
      </w:r>
    </w:p>
    <w:p w14:paraId="21D8A058" w14:textId="77777777" w:rsidR="005927ED" w:rsidRPr="007B74E4" w:rsidRDefault="005927ED" w:rsidP="005927ED">
      <w:pPr>
        <w:rPr>
          <w:rFonts w:ascii="Arial" w:eastAsiaTheme="minorHAnsi" w:hAnsi="Arial" w:cs="Arial"/>
          <w:b/>
          <w:bCs/>
          <w:kern w:val="24"/>
          <w:sz w:val="40"/>
          <w:szCs w:val="20"/>
          <w14:ligatures w14:val="none"/>
        </w:rPr>
      </w:pPr>
      <w:r w:rsidRPr="007B74E4">
        <w:rPr>
          <w:rFonts w:ascii="Arial" w:hAnsi="Arial" w:cs="Arial"/>
        </w:rPr>
        <w:br w:type="page"/>
      </w:r>
    </w:p>
    <w:p w14:paraId="0E8C1834" w14:textId="77777777" w:rsidR="005927ED" w:rsidRPr="007B74E4" w:rsidRDefault="005927ED" w:rsidP="005927ED">
      <w:pPr>
        <w:pStyle w:val="Head1"/>
      </w:pPr>
      <w:r w:rsidRPr="007B74E4">
        <w:lastRenderedPageBreak/>
        <w:t>Introduction</w:t>
      </w:r>
      <w:bookmarkEnd w:id="1"/>
    </w:p>
    <w:p w14:paraId="2F893A44" w14:textId="77777777" w:rsidR="005927ED" w:rsidRPr="007B74E4" w:rsidRDefault="005927ED" w:rsidP="005927ED">
      <w:pPr>
        <w:rPr>
          <w:rFonts w:ascii="Arial" w:hAnsi="Arial" w:cs="Arial"/>
        </w:rPr>
      </w:pPr>
    </w:p>
    <w:p w14:paraId="3E8CFF19"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w:t>
      </w:r>
      <w:hyperlink r:id="rId14" w:tgtFrame="_blank" w:history="1">
        <w:r w:rsidRPr="007B74E4">
          <w:rPr>
            <w:rStyle w:val="Hyperlink"/>
            <w:rFonts w:ascii="Arial" w:hAnsi="Arial" w:cs="Arial"/>
            <w:sz w:val="24"/>
            <w:szCs w:val="24"/>
          </w:rPr>
          <w:t>Joint Fisheries Statement (JFS)</w:t>
        </w:r>
      </w:hyperlink>
      <w:r w:rsidRPr="007B74E4">
        <w:rPr>
          <w:rFonts w:ascii="Arial" w:hAnsi="Arial" w:cs="Arial"/>
          <w:sz w:val="24"/>
          <w:szCs w:val="24"/>
        </w:rPr>
        <w:t>, as required by the Fisheries Act 2020 (the 2020 Act), sets out how the UK fisheries authorities (Department for Environment, Food &amp; Rural Affairs, Scottish Government, Welsh Government and the Department of Agriculture, Environment and Rural Affairs in Northern Ireland</w:t>
      </w:r>
      <w:r w:rsidRPr="007B74E4">
        <w:rPr>
          <w:rStyle w:val="FootnoteReference"/>
          <w:rFonts w:ascii="Arial" w:hAnsi="Arial" w:cs="Arial"/>
          <w:sz w:val="24"/>
          <w:szCs w:val="24"/>
        </w:rPr>
        <w:footnoteReference w:id="1"/>
      </w:r>
      <w:r w:rsidRPr="007B74E4">
        <w:rPr>
          <w:rFonts w:ascii="Arial" w:hAnsi="Arial" w:cs="Arial"/>
          <w:sz w:val="24"/>
          <w:szCs w:val="24"/>
        </w:rPr>
        <w:t>) will prepare and publish 43 Fisheries Management Plans (FMPs) by 2026 for the Scottish-led FMPs, with some of the remaining plans led by the other UK fisheries authorities published by 2028</w:t>
      </w:r>
      <w:r w:rsidRPr="007B74E4">
        <w:rPr>
          <w:rStyle w:val="FootnoteReference"/>
          <w:rFonts w:ascii="Arial" w:hAnsi="Arial" w:cs="Arial"/>
          <w:sz w:val="24"/>
          <w:szCs w:val="24"/>
        </w:rPr>
        <w:footnoteReference w:id="2"/>
      </w:r>
      <w:r w:rsidRPr="007B74E4">
        <w:rPr>
          <w:rFonts w:ascii="Arial" w:hAnsi="Arial" w:cs="Arial"/>
          <w:sz w:val="24"/>
          <w:szCs w:val="24"/>
        </w:rPr>
        <w:t>.  </w:t>
      </w:r>
    </w:p>
    <w:p w14:paraId="422324FE" w14:textId="77777777" w:rsidR="005927ED" w:rsidRPr="007B74E4" w:rsidRDefault="005927ED" w:rsidP="005927ED">
      <w:pPr>
        <w:rPr>
          <w:rFonts w:ascii="Arial" w:hAnsi="Arial" w:cs="Arial"/>
          <w:sz w:val="24"/>
          <w:szCs w:val="24"/>
        </w:rPr>
      </w:pPr>
      <w:r w:rsidRPr="007B74E4">
        <w:rPr>
          <w:rFonts w:ascii="Arial" w:hAnsi="Arial" w:cs="Arial"/>
          <w:sz w:val="24"/>
          <w:szCs w:val="24"/>
        </w:rPr>
        <w:t> </w:t>
      </w:r>
    </w:p>
    <w:p w14:paraId="594F05FB" w14:textId="77777777" w:rsidR="005927ED" w:rsidRPr="007B74E4" w:rsidRDefault="005927ED" w:rsidP="005927ED">
      <w:pPr>
        <w:rPr>
          <w:rFonts w:ascii="Arial" w:hAnsi="Arial" w:cs="Arial"/>
          <w:sz w:val="24"/>
          <w:szCs w:val="24"/>
        </w:rPr>
      </w:pPr>
      <w:r w:rsidRPr="007B74E4">
        <w:rPr>
          <w:rFonts w:ascii="Arial" w:hAnsi="Arial" w:cs="Arial"/>
          <w:sz w:val="24"/>
          <w:szCs w:val="24"/>
        </w:rPr>
        <w:t>The plans bring together the evidence on the state of the stocks and identify measures and actions necessary to improve the evidence base and manage our fisheries in a sustainable way. Policies in an FMP set out both the short-term actions and longer-term vision for the management of the fishery.</w:t>
      </w:r>
    </w:p>
    <w:p w14:paraId="47A542A1" w14:textId="77777777" w:rsidR="005927ED" w:rsidRPr="007B74E4" w:rsidRDefault="005927ED" w:rsidP="005927ED">
      <w:pPr>
        <w:rPr>
          <w:rFonts w:ascii="Arial" w:hAnsi="Arial" w:cs="Arial"/>
          <w:sz w:val="24"/>
          <w:szCs w:val="24"/>
        </w:rPr>
      </w:pPr>
    </w:p>
    <w:p w14:paraId="29F9E92A"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This assessment is being undertaken alongside a </w:t>
      </w:r>
      <w:hyperlink r:id="rId15" w:tgtFrame="_blank" w:tooltip="https://www.gov.scot/isbn/9781807753290" w:history="1">
        <w:r w:rsidRPr="002F1C2D">
          <w:rPr>
            <w:rStyle w:val="Hyperlink"/>
            <w:rFonts w:ascii="Arial" w:hAnsi="Arial" w:cs="Arial"/>
            <w:sz w:val="24"/>
            <w:szCs w:val="24"/>
          </w:rPr>
          <w:t>public consultation</w:t>
        </w:r>
      </w:hyperlink>
      <w:r w:rsidRPr="007B74E4">
        <w:rPr>
          <w:rFonts w:ascii="Arial" w:hAnsi="Arial" w:cs="Arial"/>
          <w:sz w:val="24"/>
          <w:szCs w:val="24"/>
        </w:rPr>
        <w:t xml:space="preserve"> on five proposed pelagic FMPs, jointly developed by the following UK fisheries authorities: Scottish Government, Welsh Government (two of the plans), Defra and DAERA. Further information is sought in the consultation regarding additional economic evidence to update this assessment before the publication of final pelagic FMPs. </w:t>
      </w:r>
    </w:p>
    <w:p w14:paraId="7372BF74" w14:textId="77777777" w:rsidR="005927ED" w:rsidRPr="007B74E4" w:rsidRDefault="005927ED" w:rsidP="005927ED">
      <w:pPr>
        <w:rPr>
          <w:rFonts w:ascii="Arial" w:hAnsi="Arial" w:cs="Arial"/>
          <w:sz w:val="24"/>
          <w:szCs w:val="24"/>
        </w:rPr>
      </w:pPr>
    </w:p>
    <w:p w14:paraId="1427C51F"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This partial BRIA describes the anticipated economic impact of the five pelagic FMPs on the fishing sector and associated businesses. </w:t>
      </w:r>
    </w:p>
    <w:p w14:paraId="54C1F307" w14:textId="77777777" w:rsidR="005927ED" w:rsidRPr="007B74E4" w:rsidRDefault="005927ED" w:rsidP="005927ED">
      <w:pPr>
        <w:rPr>
          <w:rFonts w:ascii="Arial" w:hAnsi="Arial" w:cs="Arial"/>
          <w:sz w:val="24"/>
          <w:szCs w:val="24"/>
        </w:rPr>
      </w:pPr>
    </w:p>
    <w:p w14:paraId="2F95394C" w14:textId="77777777" w:rsidR="005927ED" w:rsidRPr="007B74E4" w:rsidRDefault="005927ED" w:rsidP="005927ED">
      <w:pPr>
        <w:rPr>
          <w:rFonts w:ascii="Arial" w:hAnsi="Arial" w:cs="Arial"/>
          <w:sz w:val="24"/>
          <w:szCs w:val="24"/>
        </w:rPr>
      </w:pPr>
      <w:r w:rsidRPr="007B74E4">
        <w:rPr>
          <w:rFonts w:ascii="Arial" w:hAnsi="Arial" w:cs="Arial"/>
          <w:sz w:val="24"/>
          <w:szCs w:val="24"/>
        </w:rPr>
        <w:t>This assessment document covers the following five pelagic FMPs: </w:t>
      </w:r>
    </w:p>
    <w:p w14:paraId="0AC3E5B7" w14:textId="77777777" w:rsidR="005927ED" w:rsidRPr="007B74E4" w:rsidRDefault="005927ED" w:rsidP="005927ED">
      <w:pPr>
        <w:rPr>
          <w:rFonts w:ascii="Arial" w:hAnsi="Arial" w:cs="Arial"/>
          <w:sz w:val="24"/>
          <w:szCs w:val="24"/>
        </w:rPr>
      </w:pPr>
      <w:r w:rsidRPr="007B74E4">
        <w:rPr>
          <w:rFonts w:ascii="Arial" w:hAnsi="Arial" w:cs="Arial"/>
          <w:sz w:val="24"/>
          <w:szCs w:val="24"/>
        </w:rPr>
        <w:t> </w:t>
      </w:r>
    </w:p>
    <w:p w14:paraId="18504D70"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Proposed North Sea herring FMP</w:t>
      </w:r>
    </w:p>
    <w:p w14:paraId="5BB77EC1"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Proposed West Coast of Scotland (and Clyde) herring FMP</w:t>
      </w:r>
    </w:p>
    <w:p w14:paraId="29868D61"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Proposed Atlanto Scandian herring FMP</w:t>
      </w:r>
    </w:p>
    <w:p w14:paraId="29EA7EDB"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Proposed Northern Shelf mackerel FMP</w:t>
      </w:r>
    </w:p>
    <w:p w14:paraId="24116F60"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Proposed Northern Shelf blue whiting FMP</w:t>
      </w:r>
    </w:p>
    <w:p w14:paraId="4BEA8B38" w14:textId="77777777" w:rsidR="005927ED" w:rsidRPr="007B74E4" w:rsidRDefault="005927ED" w:rsidP="005927ED">
      <w:pPr>
        <w:spacing w:after="160" w:line="278" w:lineRule="auto"/>
        <w:rPr>
          <w:rFonts w:ascii="Arial" w:hAnsi="Arial" w:cs="Arial"/>
          <w:sz w:val="24"/>
          <w:szCs w:val="24"/>
        </w:rPr>
      </w:pPr>
    </w:p>
    <w:p w14:paraId="7FEBB8E9" w14:textId="77777777" w:rsidR="005927ED" w:rsidRPr="007B74E4" w:rsidRDefault="005927ED" w:rsidP="005927ED">
      <w:pPr>
        <w:spacing w:after="160" w:line="278" w:lineRule="auto"/>
        <w:rPr>
          <w:rFonts w:ascii="Arial" w:hAnsi="Arial" w:cs="Arial"/>
          <w:sz w:val="24"/>
          <w:szCs w:val="24"/>
        </w:rPr>
      </w:pPr>
      <w:r w:rsidRPr="007B74E4">
        <w:rPr>
          <w:rFonts w:ascii="Arial" w:hAnsi="Arial" w:cs="Arial"/>
          <w:sz w:val="24"/>
          <w:szCs w:val="24"/>
        </w:rPr>
        <w:t>Catch limits in the form of Total Allowable Catches (TACs) are set annually, informed for the majority of these stocks by scientific advice from ICES. Some of the pelagic FMPs cover more than one ICES advice area and/or TAC, and for some stocks, a single ICES advice sheet may feed into more than one UK quota. These are explained further within the FMPs.</w:t>
      </w:r>
    </w:p>
    <w:p w14:paraId="1121AD1F" w14:textId="77777777" w:rsidR="005927ED" w:rsidRPr="007B74E4" w:rsidRDefault="005927ED" w:rsidP="005927ED">
      <w:pPr>
        <w:keepNext/>
        <w:keepLines/>
        <w:spacing w:before="40" w:line="278" w:lineRule="auto"/>
        <w:outlineLvl w:val="6"/>
        <w:rPr>
          <w:rFonts w:ascii="Arial" w:hAnsi="Arial" w:cs="Arial"/>
          <w:sz w:val="24"/>
          <w:szCs w:val="24"/>
        </w:rPr>
      </w:pPr>
      <w:r w:rsidRPr="007B74E4">
        <w:rPr>
          <w:rFonts w:ascii="Arial" w:hAnsi="Arial" w:cs="Arial"/>
          <w:sz w:val="24"/>
          <w:szCs w:val="24"/>
        </w:rPr>
        <w:lastRenderedPageBreak/>
        <w:t>ICES provides annual catch advice for majority of the pelagic stocks which are subject to these FMPs. ICES advice is organised according to categories, ranging from 1 (the most information available) to 6 (the least). Additionally, benchmark exercises are used by ICES to evaluate existing and new scientific evidence and methods and, where relevant, apply them in the stock assessment process. They are part of the continuous improvement process which ensures that ICES advice is based on the best available scientific evidence.</w:t>
      </w:r>
    </w:p>
    <w:p w14:paraId="53FB3615" w14:textId="77777777" w:rsidR="005927ED" w:rsidRPr="007B74E4" w:rsidRDefault="005927ED" w:rsidP="005927ED">
      <w:pPr>
        <w:keepNext/>
        <w:keepLines/>
        <w:spacing w:before="40" w:line="278" w:lineRule="auto"/>
        <w:outlineLvl w:val="6"/>
        <w:rPr>
          <w:rFonts w:ascii="Arial" w:hAnsi="Arial" w:cs="Arial"/>
          <w:sz w:val="24"/>
          <w:szCs w:val="24"/>
        </w:rPr>
      </w:pPr>
    </w:p>
    <w:p w14:paraId="6756A9D4" w14:textId="77777777" w:rsidR="005927ED" w:rsidRPr="007B74E4" w:rsidRDefault="005927ED" w:rsidP="005927ED">
      <w:pPr>
        <w:keepNext/>
        <w:keepLines/>
        <w:spacing w:before="40" w:line="278" w:lineRule="auto"/>
        <w:outlineLvl w:val="6"/>
        <w:rPr>
          <w:rFonts w:ascii="Arial" w:hAnsi="Arial" w:cs="Arial"/>
          <w:sz w:val="24"/>
          <w:szCs w:val="24"/>
        </w:rPr>
      </w:pPr>
      <w:r w:rsidRPr="007B74E4">
        <w:rPr>
          <w:rFonts w:ascii="Arial" w:hAnsi="Arial" w:cs="Arial"/>
          <w:sz w:val="24"/>
          <w:szCs w:val="24"/>
        </w:rPr>
        <w:t>The list below is based on the ICES assessment framework available at the point of drafting the FMPs:</w:t>
      </w:r>
    </w:p>
    <w:p w14:paraId="02BE20EE" w14:textId="77777777" w:rsidR="005927ED" w:rsidRPr="007B74E4" w:rsidRDefault="005927ED" w:rsidP="005927ED">
      <w:pPr>
        <w:numPr>
          <w:ilvl w:val="0"/>
          <w:numId w:val="31"/>
        </w:numPr>
        <w:spacing w:after="160" w:line="278" w:lineRule="auto"/>
        <w:contextualSpacing/>
        <w:rPr>
          <w:rFonts w:ascii="Arial" w:eastAsia="Aptos" w:hAnsi="Arial" w:cs="Arial"/>
          <w:sz w:val="24"/>
          <w:szCs w:val="24"/>
        </w:rPr>
      </w:pPr>
      <w:r w:rsidRPr="007B74E4">
        <w:rPr>
          <w:rFonts w:ascii="Arial" w:eastAsia="Aptos" w:hAnsi="Arial" w:cs="Arial"/>
          <w:sz w:val="24"/>
          <w:szCs w:val="24"/>
        </w:rPr>
        <w:t>North Sea herring - Category 1*</w:t>
      </w:r>
    </w:p>
    <w:p w14:paraId="5302080D" w14:textId="77777777" w:rsidR="005927ED" w:rsidRPr="007B74E4" w:rsidRDefault="005927ED" w:rsidP="005927ED">
      <w:pPr>
        <w:numPr>
          <w:ilvl w:val="0"/>
          <w:numId w:val="31"/>
        </w:numPr>
        <w:spacing w:after="160" w:line="278" w:lineRule="auto"/>
        <w:contextualSpacing/>
        <w:rPr>
          <w:rFonts w:ascii="Arial" w:eastAsia="Aptos" w:hAnsi="Arial" w:cs="Arial"/>
          <w:sz w:val="24"/>
          <w:szCs w:val="24"/>
        </w:rPr>
      </w:pPr>
      <w:r w:rsidRPr="007B74E4">
        <w:rPr>
          <w:rFonts w:ascii="Arial" w:eastAsia="Aptos" w:hAnsi="Arial" w:cs="Arial"/>
          <w:sz w:val="24"/>
          <w:szCs w:val="24"/>
        </w:rPr>
        <w:t>West Coast of Scotland (and Clyde) herring - WoS herring is a Category 3 **; for the Clyde herring, there is no ICES advice produced, and no MSY reference points available. </w:t>
      </w:r>
    </w:p>
    <w:p w14:paraId="0FFBC068" w14:textId="77777777" w:rsidR="005927ED" w:rsidRPr="007B74E4" w:rsidRDefault="005927ED" w:rsidP="005927ED">
      <w:pPr>
        <w:numPr>
          <w:ilvl w:val="0"/>
          <w:numId w:val="31"/>
        </w:numPr>
        <w:spacing w:after="160" w:line="278" w:lineRule="auto"/>
        <w:contextualSpacing/>
        <w:rPr>
          <w:rFonts w:ascii="Arial" w:eastAsia="Aptos" w:hAnsi="Arial" w:cs="Arial"/>
          <w:sz w:val="24"/>
          <w:szCs w:val="24"/>
        </w:rPr>
      </w:pPr>
      <w:r w:rsidRPr="007B74E4">
        <w:rPr>
          <w:rFonts w:ascii="Arial" w:eastAsia="Aptos" w:hAnsi="Arial" w:cs="Arial"/>
          <w:sz w:val="24"/>
          <w:szCs w:val="24"/>
        </w:rPr>
        <w:t>Atlanto Scandian herring – Category 1*</w:t>
      </w:r>
    </w:p>
    <w:p w14:paraId="48110C8E" w14:textId="77777777" w:rsidR="005927ED" w:rsidRPr="007B74E4" w:rsidRDefault="005927ED" w:rsidP="005927ED">
      <w:pPr>
        <w:numPr>
          <w:ilvl w:val="0"/>
          <w:numId w:val="31"/>
        </w:numPr>
        <w:spacing w:after="160" w:line="278" w:lineRule="auto"/>
        <w:contextualSpacing/>
        <w:rPr>
          <w:rFonts w:ascii="Arial" w:eastAsia="Aptos" w:hAnsi="Arial" w:cs="Arial"/>
          <w:sz w:val="24"/>
          <w:szCs w:val="24"/>
        </w:rPr>
      </w:pPr>
      <w:r w:rsidRPr="007B74E4">
        <w:rPr>
          <w:rFonts w:ascii="Arial" w:eastAsia="Aptos" w:hAnsi="Arial" w:cs="Arial"/>
          <w:sz w:val="24"/>
          <w:szCs w:val="24"/>
        </w:rPr>
        <w:t>Northern Shelf mackerel – Category 1***</w:t>
      </w:r>
    </w:p>
    <w:p w14:paraId="511B74F5" w14:textId="77777777" w:rsidR="005927ED" w:rsidRPr="007B74E4" w:rsidRDefault="005927ED" w:rsidP="005927ED">
      <w:pPr>
        <w:numPr>
          <w:ilvl w:val="0"/>
          <w:numId w:val="31"/>
        </w:numPr>
        <w:spacing w:after="160" w:line="278" w:lineRule="auto"/>
        <w:contextualSpacing/>
        <w:rPr>
          <w:rFonts w:ascii="Arial" w:eastAsia="Aptos" w:hAnsi="Arial" w:cs="Arial"/>
          <w:sz w:val="24"/>
          <w:szCs w:val="24"/>
        </w:rPr>
      </w:pPr>
      <w:r w:rsidRPr="007B74E4">
        <w:rPr>
          <w:rFonts w:ascii="Arial" w:eastAsia="Aptos" w:hAnsi="Arial" w:cs="Arial"/>
          <w:sz w:val="24"/>
          <w:szCs w:val="24"/>
        </w:rPr>
        <w:t>Northern Shelf blue whiting - Category 1 ***</w:t>
      </w:r>
    </w:p>
    <w:p w14:paraId="2562BEE3" w14:textId="77777777" w:rsidR="005927ED" w:rsidRPr="007B74E4" w:rsidRDefault="005927ED" w:rsidP="005927ED">
      <w:pPr>
        <w:spacing w:beforeAutospacing="1" w:afterAutospacing="1" w:line="278" w:lineRule="auto"/>
        <w:rPr>
          <w:rFonts w:ascii="Arial" w:eastAsia="Aptos" w:hAnsi="Arial" w:cs="Arial"/>
          <w:sz w:val="24"/>
          <w:szCs w:val="24"/>
          <w:lang w:eastAsia="en-GB"/>
        </w:rPr>
      </w:pPr>
      <w:r w:rsidRPr="007B74E4">
        <w:rPr>
          <w:rFonts w:ascii="Arial" w:eastAsia="Aptos" w:hAnsi="Arial" w:cs="Arial"/>
          <w:sz w:val="24"/>
          <w:szCs w:val="24"/>
        </w:rPr>
        <w:t>(* )</w:t>
      </w:r>
      <w:r w:rsidRPr="007B74E4">
        <w:rPr>
          <w:rFonts w:ascii="Arial" w:eastAsia="Aptos" w:hAnsi="Arial" w:cs="Arial"/>
          <w:sz w:val="24"/>
          <w:szCs w:val="24"/>
          <w:lang w:eastAsia="en-GB"/>
        </w:rPr>
        <w:t xml:space="preserve"> The stock has a high level of data available and there is sufficient available scientific evidence for the relevant fisheries policy authorities to make annual MSY assessments for this stock. This includes stocks with quantitative (Category 1) or qualitative (Category 2) assessments.</w:t>
      </w:r>
    </w:p>
    <w:p w14:paraId="5841C2CF" w14:textId="77777777" w:rsidR="005927ED" w:rsidRPr="007B74E4" w:rsidRDefault="005927ED" w:rsidP="005927ED">
      <w:pPr>
        <w:spacing w:beforeAutospacing="1" w:afterAutospacing="1" w:line="278" w:lineRule="auto"/>
        <w:rPr>
          <w:rFonts w:ascii="Arial" w:eastAsia="Aptos" w:hAnsi="Arial" w:cs="Arial"/>
          <w:sz w:val="24"/>
          <w:szCs w:val="24"/>
          <w:lang w:eastAsia="en-GB"/>
        </w:rPr>
      </w:pPr>
      <w:r w:rsidRPr="007B74E4">
        <w:rPr>
          <w:rFonts w:ascii="Arial" w:eastAsia="Aptos" w:hAnsi="Arial" w:cs="Arial"/>
          <w:sz w:val="24"/>
          <w:szCs w:val="24"/>
        </w:rPr>
        <w:t>(**)</w:t>
      </w:r>
      <w:r w:rsidRPr="007B74E4">
        <w:rPr>
          <w:rFonts w:ascii="Arial" w:eastAsia="Aptos" w:hAnsi="Arial" w:cs="Arial"/>
          <w:sz w:val="24"/>
          <w:szCs w:val="24"/>
          <w:lang w:eastAsia="en-GB"/>
        </w:rPr>
        <w:t> The relevant fisheries policy authorities do not have sufficient evidence to make an assessment of MSY reference points for the stock, although the advice and management approach follows the ICES framework for Category 3 (stocks for which survey-based assessments indicate trends) or Category 6 (negligible landings stocks and stocks caught as minor amounts as bycatch).</w:t>
      </w:r>
    </w:p>
    <w:p w14:paraId="6DDB6FD0" w14:textId="77777777" w:rsidR="005927ED" w:rsidRPr="007B74E4" w:rsidRDefault="005927ED" w:rsidP="005927ED">
      <w:pPr>
        <w:spacing w:beforeAutospacing="1" w:afterAutospacing="1" w:line="278" w:lineRule="auto"/>
        <w:rPr>
          <w:rFonts w:ascii="Arial" w:eastAsia="Aptos" w:hAnsi="Arial" w:cs="Arial"/>
          <w:sz w:val="24"/>
          <w:szCs w:val="24"/>
          <w:lang w:eastAsia="en-GB"/>
        </w:rPr>
      </w:pPr>
      <w:r w:rsidRPr="007B74E4">
        <w:rPr>
          <w:rFonts w:ascii="Arial" w:eastAsia="Aptos" w:hAnsi="Arial" w:cs="Arial"/>
          <w:sz w:val="24"/>
          <w:szCs w:val="24"/>
        </w:rPr>
        <w:t>(***)</w:t>
      </w:r>
      <w:r w:rsidRPr="007B74E4">
        <w:rPr>
          <w:rFonts w:ascii="Arial" w:eastAsia="Aptos" w:hAnsi="Arial" w:cs="Arial"/>
          <w:sz w:val="24"/>
          <w:szCs w:val="24"/>
          <w:lang w:eastAsia="en-GB"/>
        </w:rPr>
        <w:t xml:space="preserve"> The relevant stock has a high level of data available; however, fishing pressure is above FMSY and the stock is not currently being fished within MSY constraints.  This is largely due to the lack of robust quota sharing arrangements across the relevant international fishing parties.  </w:t>
      </w:r>
    </w:p>
    <w:p w14:paraId="165D7EFE" w14:textId="77777777" w:rsidR="005927ED" w:rsidRPr="007B74E4" w:rsidRDefault="005927ED" w:rsidP="005927ED">
      <w:pPr>
        <w:rPr>
          <w:rFonts w:ascii="Arial" w:hAnsi="Arial" w:cs="Arial"/>
          <w:kern w:val="0"/>
          <w:sz w:val="24"/>
          <w:szCs w:val="20"/>
          <w14:ligatures w14:val="none"/>
        </w:rPr>
      </w:pPr>
      <w:r w:rsidRPr="007B74E4">
        <w:rPr>
          <w:rFonts w:ascii="Arial" w:hAnsi="Arial" w:cs="Arial"/>
          <w:kern w:val="0"/>
          <w:sz w:val="24"/>
          <w:szCs w:val="20"/>
          <w14:ligatures w14:val="none"/>
        </w:rPr>
        <w:t>In 2024, Pelagic fisheries were the most valuable fisheries in the UK with the total value landed by the UK fleet totalling £521 million, of which 51% (£265 million) was landed into the UK.</w:t>
      </w:r>
      <w:r w:rsidRPr="007B74E4">
        <w:rPr>
          <w:rStyle w:val="FootnoteReference"/>
          <w:rFonts w:ascii="Arial" w:hAnsi="Arial" w:cs="Arial"/>
          <w:kern w:val="0"/>
          <w:sz w:val="24"/>
          <w:szCs w:val="20"/>
          <w14:ligatures w14:val="none"/>
        </w:rPr>
        <w:footnoteReference w:id="3"/>
      </w:r>
      <w:r w:rsidRPr="007B74E4">
        <w:rPr>
          <w:rFonts w:ascii="Arial" w:hAnsi="Arial" w:cs="Arial"/>
          <w:kern w:val="0"/>
          <w:sz w:val="24"/>
          <w:szCs w:val="20"/>
          <w14:ligatures w14:val="none"/>
        </w:rPr>
        <w:t xml:space="preserve"> </w:t>
      </w:r>
      <w:r w:rsidRPr="007B74E4">
        <w:rPr>
          <w:rFonts w:ascii="Arial" w:hAnsi="Arial" w:cs="Arial"/>
          <w:sz w:val="24"/>
          <w:szCs w:val="24"/>
        </w:rPr>
        <w:t>Of these, northern shelf mackerel is the most commercially important species, with a value of £394 million in 2024, 76% of the total value of species covered by these FMPs. A breakdown by specific FMP is included below in Table 1.</w:t>
      </w:r>
    </w:p>
    <w:p w14:paraId="1BDD96A4" w14:textId="77777777" w:rsidR="005927ED" w:rsidRPr="007B74E4" w:rsidRDefault="005927ED" w:rsidP="005927ED">
      <w:pPr>
        <w:pStyle w:val="Caption"/>
        <w:keepNext/>
        <w:rPr>
          <w:rFonts w:cs="Arial"/>
          <w:color w:val="auto"/>
          <w:sz w:val="24"/>
          <w:szCs w:val="24"/>
        </w:rPr>
      </w:pPr>
    </w:p>
    <w:p w14:paraId="1EE8C62E" w14:textId="77777777" w:rsidR="005927ED" w:rsidRPr="007B74E4" w:rsidRDefault="005927ED" w:rsidP="005927ED">
      <w:pPr>
        <w:pStyle w:val="Caption"/>
        <w:keepNext/>
        <w:rPr>
          <w:rFonts w:cs="Arial"/>
          <w:b w:val="0"/>
          <w:bCs/>
          <w:color w:val="auto"/>
          <w:sz w:val="24"/>
          <w:szCs w:val="24"/>
        </w:rPr>
      </w:pPr>
      <w:r w:rsidRPr="007B74E4">
        <w:rPr>
          <w:rFonts w:cs="Arial"/>
          <w:b w:val="0"/>
          <w:bCs/>
          <w:color w:val="auto"/>
          <w:sz w:val="24"/>
          <w:szCs w:val="24"/>
        </w:rPr>
        <w:t xml:space="preserve">Table </w:t>
      </w:r>
      <w:r w:rsidRPr="007B74E4">
        <w:rPr>
          <w:rFonts w:cs="Arial"/>
          <w:b w:val="0"/>
          <w:bCs/>
          <w:color w:val="auto"/>
          <w:sz w:val="24"/>
          <w:szCs w:val="24"/>
        </w:rPr>
        <w:fldChar w:fldCharType="begin"/>
      </w:r>
      <w:r w:rsidRPr="007B74E4">
        <w:rPr>
          <w:rFonts w:cs="Arial"/>
          <w:b w:val="0"/>
          <w:bCs/>
          <w:color w:val="auto"/>
          <w:sz w:val="24"/>
          <w:szCs w:val="24"/>
        </w:rPr>
        <w:instrText xml:space="preserve"> SEQ Table \* ARABIC </w:instrText>
      </w:r>
      <w:r w:rsidRPr="007B74E4">
        <w:rPr>
          <w:rFonts w:cs="Arial"/>
          <w:b w:val="0"/>
          <w:bCs/>
          <w:color w:val="auto"/>
          <w:sz w:val="24"/>
          <w:szCs w:val="24"/>
        </w:rPr>
        <w:fldChar w:fldCharType="separate"/>
      </w:r>
      <w:r w:rsidRPr="007B74E4">
        <w:rPr>
          <w:rFonts w:cs="Arial"/>
          <w:b w:val="0"/>
          <w:bCs/>
          <w:noProof/>
          <w:color w:val="auto"/>
          <w:sz w:val="24"/>
          <w:szCs w:val="24"/>
        </w:rPr>
        <w:t>1</w:t>
      </w:r>
      <w:r w:rsidRPr="007B74E4">
        <w:rPr>
          <w:rFonts w:cs="Arial"/>
          <w:b w:val="0"/>
          <w:bCs/>
          <w:color w:val="auto"/>
          <w:sz w:val="24"/>
          <w:szCs w:val="24"/>
        </w:rPr>
        <w:fldChar w:fldCharType="end"/>
      </w:r>
      <w:r w:rsidRPr="007B74E4">
        <w:rPr>
          <w:rFonts w:cs="Arial"/>
          <w:b w:val="0"/>
          <w:bCs/>
          <w:color w:val="auto"/>
          <w:sz w:val="24"/>
          <w:szCs w:val="24"/>
        </w:rPr>
        <w:t>. Areas covered, tonnage, and value (£000’s) landed for individual FMPs (UK vessels, caught in all FMP ICES areas, landed anywhere, 2024)</w:t>
      </w:r>
    </w:p>
    <w:tbl>
      <w:tblPr>
        <w:tblStyle w:val="TableGrid"/>
        <w:tblW w:w="0" w:type="auto"/>
        <w:tblCellMar>
          <w:top w:w="28" w:type="dxa"/>
          <w:left w:w="85" w:type="dxa"/>
          <w:bottom w:w="28" w:type="dxa"/>
          <w:right w:w="85" w:type="dxa"/>
        </w:tblCellMar>
        <w:tblLook w:val="04A0" w:firstRow="1" w:lastRow="0" w:firstColumn="1" w:lastColumn="0" w:noHBand="0" w:noVBand="1"/>
      </w:tblPr>
      <w:tblGrid>
        <w:gridCol w:w="3397"/>
        <w:gridCol w:w="2410"/>
        <w:gridCol w:w="1559"/>
        <w:gridCol w:w="1650"/>
      </w:tblGrid>
      <w:tr w:rsidR="005927ED" w:rsidRPr="007B74E4" w14:paraId="27129690" w14:textId="77777777" w:rsidTr="00CC5E20">
        <w:trPr>
          <w:trHeight w:val="300"/>
        </w:trPr>
        <w:tc>
          <w:tcPr>
            <w:tcW w:w="3397" w:type="dxa"/>
            <w:noWrap/>
            <w:vAlign w:val="center"/>
            <w:hideMark/>
          </w:tcPr>
          <w:p w14:paraId="630799D1"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FMP</w:t>
            </w:r>
          </w:p>
        </w:tc>
        <w:tc>
          <w:tcPr>
            <w:tcW w:w="2410" w:type="dxa"/>
            <w:noWrap/>
            <w:vAlign w:val="center"/>
            <w:hideMark/>
          </w:tcPr>
          <w:p w14:paraId="35A4CF3A"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ICES Areas Covered</w:t>
            </w:r>
          </w:p>
        </w:tc>
        <w:tc>
          <w:tcPr>
            <w:tcW w:w="1559" w:type="dxa"/>
            <w:noWrap/>
            <w:vAlign w:val="center"/>
            <w:hideMark/>
          </w:tcPr>
          <w:p w14:paraId="0EAEB7EB"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Tonnes</w:t>
            </w:r>
          </w:p>
        </w:tc>
        <w:tc>
          <w:tcPr>
            <w:tcW w:w="1650" w:type="dxa"/>
            <w:noWrap/>
            <w:vAlign w:val="center"/>
            <w:hideMark/>
          </w:tcPr>
          <w:p w14:paraId="5FD26FA9"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Value (£000s)</w:t>
            </w:r>
          </w:p>
        </w:tc>
      </w:tr>
      <w:tr w:rsidR="005927ED" w:rsidRPr="007B74E4" w14:paraId="4B7A9EAC" w14:textId="77777777" w:rsidTr="00CC5E20">
        <w:trPr>
          <w:trHeight w:val="300"/>
        </w:trPr>
        <w:tc>
          <w:tcPr>
            <w:tcW w:w="3397" w:type="dxa"/>
            <w:noWrap/>
          </w:tcPr>
          <w:p w14:paraId="0F26E8EF" w14:textId="77777777" w:rsidR="005927ED" w:rsidRPr="007B74E4" w:rsidRDefault="005927ED" w:rsidP="00CC5E20">
            <w:pPr>
              <w:rPr>
                <w:rFonts w:ascii="Arial" w:hAnsi="Arial" w:cs="Arial"/>
                <w:sz w:val="24"/>
                <w:szCs w:val="24"/>
              </w:rPr>
            </w:pPr>
            <w:r w:rsidRPr="007B74E4">
              <w:rPr>
                <w:rFonts w:ascii="Arial" w:hAnsi="Arial" w:cs="Arial"/>
                <w:sz w:val="24"/>
                <w:szCs w:val="24"/>
              </w:rPr>
              <w:t>Northern shelf mackerel  </w:t>
            </w:r>
          </w:p>
        </w:tc>
        <w:tc>
          <w:tcPr>
            <w:tcW w:w="2410" w:type="dxa"/>
            <w:noWrap/>
          </w:tcPr>
          <w:p w14:paraId="62C2CB66" w14:textId="77777777" w:rsidR="005927ED" w:rsidRPr="007B74E4" w:rsidRDefault="005927ED" w:rsidP="00CC5E20">
            <w:pPr>
              <w:rPr>
                <w:rFonts w:ascii="Arial" w:hAnsi="Arial" w:cs="Arial"/>
                <w:sz w:val="24"/>
                <w:szCs w:val="24"/>
              </w:rPr>
            </w:pPr>
            <w:r w:rsidRPr="007B74E4">
              <w:rPr>
                <w:rFonts w:ascii="Arial" w:hAnsi="Arial" w:cs="Arial"/>
                <w:sz w:val="24"/>
                <w:szCs w:val="24"/>
              </w:rPr>
              <w:t xml:space="preserve">2.a, 4.a, 4.b, 4.c, 6.a, 6.b, 6.c, 7.a, 7.d, 7.e, 7.f, 7.g, 7.h, 7.j </w:t>
            </w:r>
          </w:p>
        </w:tc>
        <w:tc>
          <w:tcPr>
            <w:tcW w:w="1559" w:type="dxa"/>
            <w:noWrap/>
          </w:tcPr>
          <w:p w14:paraId="6601F932"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223,987</w:t>
            </w:r>
          </w:p>
        </w:tc>
        <w:tc>
          <w:tcPr>
            <w:tcW w:w="1650" w:type="dxa"/>
            <w:noWrap/>
          </w:tcPr>
          <w:p w14:paraId="74C1D7A4"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394,310</w:t>
            </w:r>
          </w:p>
        </w:tc>
      </w:tr>
      <w:tr w:rsidR="005927ED" w:rsidRPr="007B74E4" w14:paraId="1C587347" w14:textId="77777777" w:rsidTr="00CC5E20">
        <w:trPr>
          <w:trHeight w:val="300"/>
        </w:trPr>
        <w:tc>
          <w:tcPr>
            <w:tcW w:w="3397" w:type="dxa"/>
            <w:noWrap/>
          </w:tcPr>
          <w:p w14:paraId="3A25FC22" w14:textId="77777777" w:rsidR="005927ED" w:rsidRPr="007B74E4" w:rsidRDefault="005927ED" w:rsidP="00CC5E20">
            <w:pPr>
              <w:rPr>
                <w:rFonts w:ascii="Arial" w:hAnsi="Arial" w:cs="Arial"/>
                <w:sz w:val="24"/>
                <w:szCs w:val="24"/>
              </w:rPr>
            </w:pPr>
            <w:r w:rsidRPr="007B74E4">
              <w:rPr>
                <w:rFonts w:ascii="Arial" w:hAnsi="Arial" w:cs="Arial"/>
                <w:sz w:val="24"/>
                <w:szCs w:val="24"/>
              </w:rPr>
              <w:t>Atlanto Scandian herring</w:t>
            </w:r>
          </w:p>
        </w:tc>
        <w:tc>
          <w:tcPr>
            <w:tcW w:w="2410" w:type="dxa"/>
            <w:noWrap/>
          </w:tcPr>
          <w:p w14:paraId="5E468169" w14:textId="77777777" w:rsidR="005927ED" w:rsidRPr="007B74E4" w:rsidRDefault="005927ED" w:rsidP="00CC5E20">
            <w:pPr>
              <w:rPr>
                <w:rFonts w:ascii="Arial" w:hAnsi="Arial" w:cs="Arial"/>
                <w:sz w:val="24"/>
                <w:szCs w:val="24"/>
              </w:rPr>
            </w:pPr>
            <w:r w:rsidRPr="007B74E4">
              <w:rPr>
                <w:rFonts w:ascii="Arial" w:hAnsi="Arial" w:cs="Arial"/>
                <w:sz w:val="24"/>
                <w:szCs w:val="24"/>
              </w:rPr>
              <w:t>2.a</w:t>
            </w:r>
          </w:p>
        </w:tc>
        <w:tc>
          <w:tcPr>
            <w:tcW w:w="1559" w:type="dxa"/>
            <w:noWrap/>
          </w:tcPr>
          <w:p w14:paraId="51DF89E9"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5,843</w:t>
            </w:r>
          </w:p>
        </w:tc>
        <w:tc>
          <w:tcPr>
            <w:tcW w:w="1650" w:type="dxa"/>
            <w:noWrap/>
          </w:tcPr>
          <w:p w14:paraId="07BA97A6"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20,280</w:t>
            </w:r>
          </w:p>
        </w:tc>
      </w:tr>
      <w:tr w:rsidR="005927ED" w:rsidRPr="007B74E4" w14:paraId="187D12A0" w14:textId="77777777" w:rsidTr="00CC5E20">
        <w:trPr>
          <w:trHeight w:val="300"/>
        </w:trPr>
        <w:tc>
          <w:tcPr>
            <w:tcW w:w="3397" w:type="dxa"/>
            <w:noWrap/>
          </w:tcPr>
          <w:p w14:paraId="084B3892"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herring  </w:t>
            </w:r>
          </w:p>
        </w:tc>
        <w:tc>
          <w:tcPr>
            <w:tcW w:w="2410" w:type="dxa"/>
            <w:noWrap/>
          </w:tcPr>
          <w:p w14:paraId="48C60158" w14:textId="77777777" w:rsidR="005927ED" w:rsidRPr="007B74E4" w:rsidRDefault="005927ED" w:rsidP="00CC5E20">
            <w:pPr>
              <w:rPr>
                <w:rFonts w:ascii="Arial" w:hAnsi="Arial" w:cs="Arial"/>
                <w:sz w:val="24"/>
                <w:szCs w:val="24"/>
              </w:rPr>
            </w:pPr>
            <w:r w:rsidRPr="007B74E4">
              <w:rPr>
                <w:rFonts w:ascii="Arial" w:hAnsi="Arial" w:cs="Arial"/>
                <w:sz w:val="24"/>
                <w:szCs w:val="24"/>
              </w:rPr>
              <w:t>4.a, 4.b, 4.c, 7.d</w:t>
            </w:r>
          </w:p>
        </w:tc>
        <w:tc>
          <w:tcPr>
            <w:tcW w:w="1559" w:type="dxa"/>
            <w:noWrap/>
          </w:tcPr>
          <w:p w14:paraId="6F2E71AB"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99,205</w:t>
            </w:r>
          </w:p>
        </w:tc>
        <w:tc>
          <w:tcPr>
            <w:tcW w:w="1650" w:type="dxa"/>
            <w:noWrap/>
          </w:tcPr>
          <w:p w14:paraId="63CBB21E"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79,290</w:t>
            </w:r>
          </w:p>
        </w:tc>
      </w:tr>
      <w:tr w:rsidR="005927ED" w:rsidRPr="007B74E4" w14:paraId="253FB225" w14:textId="77777777" w:rsidTr="00CC5E20">
        <w:trPr>
          <w:trHeight w:val="300"/>
        </w:trPr>
        <w:tc>
          <w:tcPr>
            <w:tcW w:w="3397" w:type="dxa"/>
            <w:noWrap/>
          </w:tcPr>
          <w:p w14:paraId="114042EB" w14:textId="77777777" w:rsidR="005927ED" w:rsidRPr="007B74E4" w:rsidRDefault="005927ED" w:rsidP="00CC5E20">
            <w:pPr>
              <w:rPr>
                <w:rFonts w:ascii="Arial" w:hAnsi="Arial" w:cs="Arial"/>
                <w:sz w:val="24"/>
                <w:szCs w:val="24"/>
              </w:rPr>
            </w:pPr>
            <w:r w:rsidRPr="007B74E4">
              <w:rPr>
                <w:rFonts w:ascii="Arial" w:hAnsi="Arial" w:cs="Arial"/>
                <w:sz w:val="24"/>
                <w:szCs w:val="24"/>
              </w:rPr>
              <w:t>West Coast of Scotland (and Clyde) herring  </w:t>
            </w:r>
          </w:p>
        </w:tc>
        <w:tc>
          <w:tcPr>
            <w:tcW w:w="2410" w:type="dxa"/>
            <w:noWrap/>
          </w:tcPr>
          <w:p w14:paraId="6953ED16" w14:textId="77777777" w:rsidR="005927ED" w:rsidRPr="007B74E4" w:rsidRDefault="005927ED" w:rsidP="00CC5E20">
            <w:pPr>
              <w:rPr>
                <w:rFonts w:ascii="Arial" w:hAnsi="Arial" w:cs="Arial"/>
                <w:sz w:val="24"/>
                <w:szCs w:val="24"/>
              </w:rPr>
            </w:pPr>
            <w:r w:rsidRPr="007B74E4">
              <w:rPr>
                <w:rFonts w:ascii="Arial" w:hAnsi="Arial" w:cs="Arial"/>
                <w:sz w:val="24"/>
                <w:szCs w:val="24"/>
              </w:rPr>
              <w:t>6.a</w:t>
            </w:r>
          </w:p>
        </w:tc>
        <w:tc>
          <w:tcPr>
            <w:tcW w:w="1559" w:type="dxa"/>
            <w:noWrap/>
          </w:tcPr>
          <w:p w14:paraId="53BB5C47"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1,405</w:t>
            </w:r>
          </w:p>
        </w:tc>
        <w:tc>
          <w:tcPr>
            <w:tcW w:w="1650" w:type="dxa"/>
            <w:noWrap/>
          </w:tcPr>
          <w:p w14:paraId="55CFF03A"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540</w:t>
            </w:r>
          </w:p>
        </w:tc>
      </w:tr>
      <w:tr w:rsidR="005927ED" w:rsidRPr="007B74E4" w14:paraId="434086A9" w14:textId="77777777" w:rsidTr="00CC5E20">
        <w:trPr>
          <w:trHeight w:val="300"/>
        </w:trPr>
        <w:tc>
          <w:tcPr>
            <w:tcW w:w="3397" w:type="dxa"/>
            <w:noWrap/>
          </w:tcPr>
          <w:p w14:paraId="17A1FD73"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greater silver smelt  </w:t>
            </w:r>
          </w:p>
        </w:tc>
        <w:tc>
          <w:tcPr>
            <w:tcW w:w="2410" w:type="dxa"/>
            <w:noWrap/>
          </w:tcPr>
          <w:p w14:paraId="3C84ED9C" w14:textId="77777777" w:rsidR="005927ED" w:rsidRPr="007B74E4" w:rsidRDefault="005927ED" w:rsidP="00CC5E20">
            <w:pPr>
              <w:rPr>
                <w:rFonts w:ascii="Arial" w:hAnsi="Arial" w:cs="Arial"/>
                <w:sz w:val="24"/>
                <w:szCs w:val="24"/>
              </w:rPr>
            </w:pPr>
            <w:r w:rsidRPr="007B74E4">
              <w:rPr>
                <w:rFonts w:ascii="Arial" w:hAnsi="Arial" w:cs="Arial"/>
                <w:sz w:val="24"/>
                <w:szCs w:val="24"/>
              </w:rPr>
              <w:t>2.a, 4.a</w:t>
            </w:r>
          </w:p>
        </w:tc>
        <w:tc>
          <w:tcPr>
            <w:tcW w:w="1559" w:type="dxa"/>
            <w:noWrap/>
          </w:tcPr>
          <w:p w14:paraId="529C426D"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c>
          <w:tcPr>
            <w:tcW w:w="1650" w:type="dxa"/>
            <w:noWrap/>
          </w:tcPr>
          <w:p w14:paraId="4FAD37BF"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r>
      <w:tr w:rsidR="005927ED" w:rsidRPr="007B74E4" w14:paraId="7BA027E7" w14:textId="77777777" w:rsidTr="00CC5E20">
        <w:trPr>
          <w:trHeight w:val="300"/>
        </w:trPr>
        <w:tc>
          <w:tcPr>
            <w:tcW w:w="3397" w:type="dxa"/>
            <w:noWrap/>
            <w:hideMark/>
          </w:tcPr>
          <w:p w14:paraId="1D7AC6EE" w14:textId="77777777" w:rsidR="005927ED" w:rsidRPr="007B74E4" w:rsidRDefault="005927ED" w:rsidP="00CC5E20">
            <w:pPr>
              <w:rPr>
                <w:rFonts w:ascii="Arial" w:hAnsi="Arial" w:cs="Arial"/>
                <w:sz w:val="24"/>
                <w:szCs w:val="24"/>
              </w:rPr>
            </w:pPr>
            <w:r w:rsidRPr="007B74E4">
              <w:rPr>
                <w:rFonts w:ascii="Arial" w:hAnsi="Arial" w:cs="Arial"/>
                <w:sz w:val="24"/>
                <w:szCs w:val="24"/>
              </w:rPr>
              <w:t>West of Scotland greater silver smelt  </w:t>
            </w:r>
          </w:p>
          <w:p w14:paraId="0A2E6185" w14:textId="77777777" w:rsidR="005927ED" w:rsidRPr="007B74E4" w:rsidRDefault="005927ED" w:rsidP="00CC5E20">
            <w:pPr>
              <w:rPr>
                <w:rFonts w:ascii="Arial" w:hAnsi="Arial" w:cs="Arial"/>
                <w:sz w:val="24"/>
                <w:szCs w:val="24"/>
              </w:rPr>
            </w:pPr>
          </w:p>
        </w:tc>
        <w:tc>
          <w:tcPr>
            <w:tcW w:w="2410" w:type="dxa"/>
            <w:noWrap/>
          </w:tcPr>
          <w:p w14:paraId="305FE29D" w14:textId="77777777" w:rsidR="005927ED" w:rsidRPr="007B74E4" w:rsidRDefault="005927ED" w:rsidP="00CC5E20">
            <w:pPr>
              <w:rPr>
                <w:rFonts w:ascii="Arial" w:hAnsi="Arial" w:cs="Arial"/>
                <w:sz w:val="24"/>
                <w:szCs w:val="24"/>
              </w:rPr>
            </w:pPr>
            <w:r w:rsidRPr="007B74E4">
              <w:rPr>
                <w:rFonts w:ascii="Arial" w:hAnsi="Arial" w:cs="Arial"/>
                <w:sz w:val="24"/>
                <w:szCs w:val="24"/>
              </w:rPr>
              <w:t>6.a</w:t>
            </w:r>
          </w:p>
        </w:tc>
        <w:tc>
          <w:tcPr>
            <w:tcW w:w="1559" w:type="dxa"/>
            <w:noWrap/>
          </w:tcPr>
          <w:p w14:paraId="69857CD2"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c>
          <w:tcPr>
            <w:tcW w:w="1650" w:type="dxa"/>
            <w:noWrap/>
          </w:tcPr>
          <w:p w14:paraId="411271AF"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r>
      <w:tr w:rsidR="005927ED" w:rsidRPr="007B74E4" w14:paraId="290451EE" w14:textId="77777777" w:rsidTr="00CC5E20">
        <w:trPr>
          <w:trHeight w:val="300"/>
        </w:trPr>
        <w:tc>
          <w:tcPr>
            <w:tcW w:w="3397" w:type="dxa"/>
            <w:noWrap/>
          </w:tcPr>
          <w:p w14:paraId="4A27C73F" w14:textId="77777777" w:rsidR="005927ED" w:rsidRPr="007B74E4" w:rsidRDefault="005927ED" w:rsidP="00CC5E20">
            <w:pPr>
              <w:rPr>
                <w:rFonts w:ascii="Arial" w:hAnsi="Arial" w:cs="Arial"/>
                <w:sz w:val="24"/>
                <w:szCs w:val="24"/>
              </w:rPr>
            </w:pPr>
            <w:r w:rsidRPr="007B74E4">
              <w:rPr>
                <w:rFonts w:ascii="Arial" w:hAnsi="Arial" w:cs="Arial"/>
                <w:sz w:val="24"/>
                <w:szCs w:val="24"/>
              </w:rPr>
              <w:t>Northern Shelf blue whiting </w:t>
            </w:r>
          </w:p>
        </w:tc>
        <w:tc>
          <w:tcPr>
            <w:tcW w:w="2410" w:type="dxa"/>
            <w:noWrap/>
          </w:tcPr>
          <w:p w14:paraId="73139F50" w14:textId="77777777" w:rsidR="005927ED" w:rsidRPr="007B74E4" w:rsidRDefault="005927ED" w:rsidP="00CC5E20">
            <w:pPr>
              <w:rPr>
                <w:rFonts w:ascii="Arial" w:hAnsi="Arial" w:cs="Arial"/>
                <w:sz w:val="24"/>
                <w:szCs w:val="24"/>
              </w:rPr>
            </w:pPr>
            <w:r w:rsidRPr="007B74E4">
              <w:rPr>
                <w:rFonts w:ascii="Arial" w:hAnsi="Arial" w:cs="Arial"/>
                <w:sz w:val="24"/>
                <w:szCs w:val="24"/>
              </w:rPr>
              <w:t>2.a, 4.a, 4.b, 4.c, 5.b, 6.a, 6.b, 7.d, 7.e, 7.f, 7.g, 7.j</w:t>
            </w:r>
          </w:p>
        </w:tc>
        <w:tc>
          <w:tcPr>
            <w:tcW w:w="1559" w:type="dxa"/>
            <w:noWrap/>
          </w:tcPr>
          <w:p w14:paraId="52D3C1B0"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66,870</w:t>
            </w:r>
          </w:p>
        </w:tc>
        <w:tc>
          <w:tcPr>
            <w:tcW w:w="1650" w:type="dxa"/>
            <w:noWrap/>
          </w:tcPr>
          <w:p w14:paraId="20BA6012"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25,070</w:t>
            </w:r>
          </w:p>
        </w:tc>
      </w:tr>
      <w:tr w:rsidR="005927ED" w:rsidRPr="007B74E4" w14:paraId="0BF75060" w14:textId="77777777" w:rsidTr="00CC5E20">
        <w:trPr>
          <w:trHeight w:val="300"/>
        </w:trPr>
        <w:tc>
          <w:tcPr>
            <w:tcW w:w="3397" w:type="dxa"/>
            <w:noWrap/>
            <w:hideMark/>
          </w:tcPr>
          <w:p w14:paraId="25C7E490"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horse mackerel</w:t>
            </w:r>
          </w:p>
        </w:tc>
        <w:tc>
          <w:tcPr>
            <w:tcW w:w="2410" w:type="dxa"/>
            <w:noWrap/>
          </w:tcPr>
          <w:p w14:paraId="00983EA2" w14:textId="77777777" w:rsidR="005927ED" w:rsidRPr="007B74E4" w:rsidRDefault="005927ED" w:rsidP="00CC5E20">
            <w:pPr>
              <w:rPr>
                <w:rFonts w:ascii="Arial" w:hAnsi="Arial" w:cs="Arial"/>
                <w:sz w:val="24"/>
                <w:szCs w:val="24"/>
              </w:rPr>
            </w:pPr>
            <w:r w:rsidRPr="007B74E4">
              <w:rPr>
                <w:rFonts w:ascii="Arial" w:hAnsi="Arial" w:cs="Arial"/>
                <w:sz w:val="24"/>
                <w:szCs w:val="24"/>
              </w:rPr>
              <w:t>4.a, 4.b, 4.c, 7.d</w:t>
            </w:r>
          </w:p>
        </w:tc>
        <w:tc>
          <w:tcPr>
            <w:tcW w:w="1559" w:type="dxa"/>
            <w:noWrap/>
          </w:tcPr>
          <w:p w14:paraId="6BA789EA"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3,759</w:t>
            </w:r>
          </w:p>
        </w:tc>
        <w:tc>
          <w:tcPr>
            <w:tcW w:w="1650" w:type="dxa"/>
            <w:noWrap/>
          </w:tcPr>
          <w:p w14:paraId="1562D7A3"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1,890</w:t>
            </w:r>
          </w:p>
        </w:tc>
      </w:tr>
    </w:tbl>
    <w:p w14:paraId="29D32348"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Source: SG internal fisheries management data, August 2025. Figures may differ from the published </w:t>
      </w:r>
      <w:hyperlink r:id="rId16" w:history="1">
        <w:r w:rsidRPr="007B74E4">
          <w:rPr>
            <w:rStyle w:val="Hyperlink"/>
            <w:rFonts w:ascii="Arial" w:hAnsi="Arial" w:cs="Arial"/>
            <w:sz w:val="24"/>
            <w:szCs w:val="24"/>
          </w:rPr>
          <w:t>UK sea fisheries annual statistics report 2024</w:t>
        </w:r>
      </w:hyperlink>
      <w:r w:rsidRPr="007B74E4">
        <w:rPr>
          <w:rFonts w:ascii="Arial" w:hAnsi="Arial" w:cs="Arial"/>
          <w:sz w:val="24"/>
          <w:szCs w:val="24"/>
        </w:rPr>
        <w:t>.</w:t>
      </w:r>
    </w:p>
    <w:p w14:paraId="23FD41AC" w14:textId="77777777" w:rsidR="005927ED" w:rsidRPr="007B74E4" w:rsidRDefault="005927ED" w:rsidP="005927ED">
      <w:pPr>
        <w:pStyle w:val="Caption"/>
        <w:keepNext/>
        <w:rPr>
          <w:rFonts w:cs="Arial"/>
          <w:sz w:val="24"/>
          <w:szCs w:val="24"/>
        </w:rPr>
      </w:pPr>
    </w:p>
    <w:p w14:paraId="45CD2605" w14:textId="77777777" w:rsidR="005927ED" w:rsidRPr="007B74E4" w:rsidRDefault="005927ED" w:rsidP="005927ED">
      <w:pPr>
        <w:pStyle w:val="Caption"/>
        <w:keepNext/>
        <w:rPr>
          <w:rFonts w:cs="Arial"/>
          <w:b w:val="0"/>
          <w:bCs/>
          <w:color w:val="auto"/>
          <w:sz w:val="24"/>
          <w:szCs w:val="24"/>
        </w:rPr>
      </w:pPr>
      <w:r w:rsidRPr="007B74E4">
        <w:rPr>
          <w:rFonts w:cs="Arial"/>
          <w:b w:val="0"/>
          <w:bCs/>
          <w:color w:val="auto"/>
          <w:sz w:val="24"/>
          <w:szCs w:val="24"/>
        </w:rPr>
        <w:t>Table 2. Areas covered, tonnage, and value (£000’s) landed for individual FMPs (UK vessels, caught in all FMP ICES areas, landed into the UK 2024)</w:t>
      </w:r>
    </w:p>
    <w:tbl>
      <w:tblPr>
        <w:tblStyle w:val="TableGrid"/>
        <w:tblW w:w="0" w:type="auto"/>
        <w:tblCellMar>
          <w:top w:w="28" w:type="dxa"/>
          <w:left w:w="85" w:type="dxa"/>
          <w:bottom w:w="28" w:type="dxa"/>
          <w:right w:w="85" w:type="dxa"/>
        </w:tblCellMar>
        <w:tblLook w:val="04A0" w:firstRow="1" w:lastRow="0" w:firstColumn="1" w:lastColumn="0" w:noHBand="0" w:noVBand="1"/>
      </w:tblPr>
      <w:tblGrid>
        <w:gridCol w:w="3397"/>
        <w:gridCol w:w="2268"/>
        <w:gridCol w:w="2835"/>
      </w:tblGrid>
      <w:tr w:rsidR="005927ED" w:rsidRPr="007B74E4" w14:paraId="3F0A20B4" w14:textId="77777777" w:rsidTr="00CC5E20">
        <w:trPr>
          <w:trHeight w:val="300"/>
        </w:trPr>
        <w:tc>
          <w:tcPr>
            <w:tcW w:w="3397" w:type="dxa"/>
            <w:noWrap/>
            <w:vAlign w:val="center"/>
            <w:hideMark/>
          </w:tcPr>
          <w:p w14:paraId="6A38730B"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FMP</w:t>
            </w:r>
          </w:p>
        </w:tc>
        <w:tc>
          <w:tcPr>
            <w:tcW w:w="2268" w:type="dxa"/>
            <w:noWrap/>
            <w:vAlign w:val="center"/>
            <w:hideMark/>
          </w:tcPr>
          <w:p w14:paraId="12A2560C"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Tonnes</w:t>
            </w:r>
          </w:p>
        </w:tc>
        <w:tc>
          <w:tcPr>
            <w:tcW w:w="2835" w:type="dxa"/>
            <w:noWrap/>
            <w:vAlign w:val="center"/>
            <w:hideMark/>
          </w:tcPr>
          <w:p w14:paraId="78CBD728" w14:textId="77777777" w:rsidR="005927ED" w:rsidRPr="007B74E4" w:rsidRDefault="005927ED" w:rsidP="00CC5E20">
            <w:pPr>
              <w:rPr>
                <w:rFonts w:ascii="Arial" w:hAnsi="Arial" w:cs="Arial"/>
                <w:b/>
                <w:bCs/>
                <w:sz w:val="24"/>
                <w:szCs w:val="24"/>
              </w:rPr>
            </w:pPr>
            <w:r w:rsidRPr="007B74E4">
              <w:rPr>
                <w:rFonts w:ascii="Arial" w:hAnsi="Arial" w:cs="Arial"/>
                <w:b/>
                <w:bCs/>
                <w:sz w:val="24"/>
                <w:szCs w:val="24"/>
              </w:rPr>
              <w:t>Value (£000s)</w:t>
            </w:r>
          </w:p>
        </w:tc>
      </w:tr>
      <w:tr w:rsidR="005927ED" w:rsidRPr="007B74E4" w14:paraId="45DC4980" w14:textId="77777777" w:rsidTr="00CC5E20">
        <w:trPr>
          <w:trHeight w:val="300"/>
        </w:trPr>
        <w:tc>
          <w:tcPr>
            <w:tcW w:w="3397" w:type="dxa"/>
            <w:noWrap/>
          </w:tcPr>
          <w:p w14:paraId="029566F2" w14:textId="77777777" w:rsidR="005927ED" w:rsidRPr="007B74E4" w:rsidRDefault="005927ED" w:rsidP="00CC5E20">
            <w:pPr>
              <w:rPr>
                <w:rFonts w:ascii="Arial" w:hAnsi="Arial" w:cs="Arial"/>
                <w:sz w:val="24"/>
                <w:szCs w:val="24"/>
              </w:rPr>
            </w:pPr>
            <w:r w:rsidRPr="007B74E4">
              <w:rPr>
                <w:rFonts w:ascii="Arial" w:hAnsi="Arial" w:cs="Arial"/>
                <w:sz w:val="24"/>
                <w:szCs w:val="24"/>
              </w:rPr>
              <w:t>Northern shelf mackerel  </w:t>
            </w:r>
          </w:p>
        </w:tc>
        <w:tc>
          <w:tcPr>
            <w:tcW w:w="2268" w:type="dxa"/>
            <w:noWrap/>
          </w:tcPr>
          <w:p w14:paraId="389B0551"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120,925</w:t>
            </w:r>
          </w:p>
        </w:tc>
        <w:tc>
          <w:tcPr>
            <w:tcW w:w="2835" w:type="dxa"/>
            <w:noWrap/>
          </w:tcPr>
          <w:p w14:paraId="2E27BF22"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212,879</w:t>
            </w:r>
          </w:p>
        </w:tc>
      </w:tr>
      <w:tr w:rsidR="005927ED" w:rsidRPr="007B74E4" w14:paraId="1C195524" w14:textId="77777777" w:rsidTr="00CC5E20">
        <w:trPr>
          <w:trHeight w:val="300"/>
        </w:trPr>
        <w:tc>
          <w:tcPr>
            <w:tcW w:w="3397" w:type="dxa"/>
            <w:noWrap/>
          </w:tcPr>
          <w:p w14:paraId="2EFC9EA6" w14:textId="77777777" w:rsidR="005927ED" w:rsidRPr="007B74E4" w:rsidRDefault="005927ED" w:rsidP="00CC5E20">
            <w:pPr>
              <w:rPr>
                <w:rFonts w:ascii="Arial" w:hAnsi="Arial" w:cs="Arial"/>
                <w:sz w:val="24"/>
                <w:szCs w:val="24"/>
              </w:rPr>
            </w:pPr>
            <w:r w:rsidRPr="007B74E4">
              <w:rPr>
                <w:rFonts w:ascii="Arial" w:hAnsi="Arial" w:cs="Arial"/>
                <w:sz w:val="24"/>
                <w:szCs w:val="24"/>
              </w:rPr>
              <w:t>Atlanto Scandian herring</w:t>
            </w:r>
          </w:p>
        </w:tc>
        <w:tc>
          <w:tcPr>
            <w:tcW w:w="2268" w:type="dxa"/>
            <w:noWrap/>
          </w:tcPr>
          <w:p w14:paraId="2C5F1668"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c>
          <w:tcPr>
            <w:tcW w:w="2835" w:type="dxa"/>
            <w:noWrap/>
          </w:tcPr>
          <w:p w14:paraId="56EB4DED"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r>
      <w:tr w:rsidR="005927ED" w:rsidRPr="007B74E4" w14:paraId="79EAA7C7" w14:textId="77777777" w:rsidTr="00CC5E20">
        <w:trPr>
          <w:trHeight w:val="300"/>
        </w:trPr>
        <w:tc>
          <w:tcPr>
            <w:tcW w:w="3397" w:type="dxa"/>
            <w:noWrap/>
          </w:tcPr>
          <w:p w14:paraId="12E409F7"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herring  </w:t>
            </w:r>
          </w:p>
        </w:tc>
        <w:tc>
          <w:tcPr>
            <w:tcW w:w="2268" w:type="dxa"/>
            <w:noWrap/>
          </w:tcPr>
          <w:p w14:paraId="515F11EF"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55,595</w:t>
            </w:r>
          </w:p>
        </w:tc>
        <w:tc>
          <w:tcPr>
            <w:tcW w:w="2835" w:type="dxa"/>
            <w:noWrap/>
          </w:tcPr>
          <w:p w14:paraId="473FE96C"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44,435</w:t>
            </w:r>
          </w:p>
        </w:tc>
      </w:tr>
      <w:tr w:rsidR="005927ED" w:rsidRPr="007B74E4" w14:paraId="589C39FE" w14:textId="77777777" w:rsidTr="00CC5E20">
        <w:trPr>
          <w:trHeight w:val="300"/>
        </w:trPr>
        <w:tc>
          <w:tcPr>
            <w:tcW w:w="3397" w:type="dxa"/>
            <w:noWrap/>
          </w:tcPr>
          <w:p w14:paraId="3A336B70" w14:textId="77777777" w:rsidR="005927ED" w:rsidRPr="007B74E4" w:rsidRDefault="005927ED" w:rsidP="00CC5E20">
            <w:pPr>
              <w:rPr>
                <w:rFonts w:ascii="Arial" w:hAnsi="Arial" w:cs="Arial"/>
                <w:sz w:val="24"/>
                <w:szCs w:val="24"/>
              </w:rPr>
            </w:pPr>
            <w:r w:rsidRPr="007B74E4">
              <w:rPr>
                <w:rFonts w:ascii="Arial" w:hAnsi="Arial" w:cs="Arial"/>
                <w:sz w:val="24"/>
                <w:szCs w:val="24"/>
              </w:rPr>
              <w:t>West Coast of Scotland (and Clyde) herring  </w:t>
            </w:r>
          </w:p>
        </w:tc>
        <w:tc>
          <w:tcPr>
            <w:tcW w:w="2268" w:type="dxa"/>
            <w:noWrap/>
          </w:tcPr>
          <w:p w14:paraId="61AD8220"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999</w:t>
            </w:r>
          </w:p>
        </w:tc>
        <w:tc>
          <w:tcPr>
            <w:tcW w:w="2835" w:type="dxa"/>
            <w:noWrap/>
          </w:tcPr>
          <w:p w14:paraId="5865E8AE"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384</w:t>
            </w:r>
          </w:p>
        </w:tc>
      </w:tr>
      <w:tr w:rsidR="005927ED" w:rsidRPr="007B74E4" w14:paraId="66CE3F9C" w14:textId="77777777" w:rsidTr="00CC5E20">
        <w:trPr>
          <w:trHeight w:val="300"/>
        </w:trPr>
        <w:tc>
          <w:tcPr>
            <w:tcW w:w="3397" w:type="dxa"/>
            <w:noWrap/>
          </w:tcPr>
          <w:p w14:paraId="7C69BCDB"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greater silver smelt  </w:t>
            </w:r>
          </w:p>
        </w:tc>
        <w:tc>
          <w:tcPr>
            <w:tcW w:w="2268" w:type="dxa"/>
            <w:noWrap/>
          </w:tcPr>
          <w:p w14:paraId="7F7F19DC"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c>
          <w:tcPr>
            <w:tcW w:w="2835" w:type="dxa"/>
            <w:noWrap/>
          </w:tcPr>
          <w:p w14:paraId="4A101A50"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r>
      <w:tr w:rsidR="005927ED" w:rsidRPr="007B74E4" w14:paraId="2A58AE77" w14:textId="77777777" w:rsidTr="00CC5E20">
        <w:trPr>
          <w:trHeight w:val="300"/>
        </w:trPr>
        <w:tc>
          <w:tcPr>
            <w:tcW w:w="3397" w:type="dxa"/>
            <w:noWrap/>
            <w:hideMark/>
          </w:tcPr>
          <w:p w14:paraId="116B27A1" w14:textId="77777777" w:rsidR="005927ED" w:rsidRPr="007B74E4" w:rsidRDefault="005927ED" w:rsidP="00CC5E20">
            <w:pPr>
              <w:rPr>
                <w:rFonts w:ascii="Arial" w:hAnsi="Arial" w:cs="Arial"/>
                <w:sz w:val="24"/>
                <w:szCs w:val="24"/>
              </w:rPr>
            </w:pPr>
            <w:r w:rsidRPr="007B74E4">
              <w:rPr>
                <w:rFonts w:ascii="Arial" w:hAnsi="Arial" w:cs="Arial"/>
                <w:sz w:val="24"/>
                <w:szCs w:val="24"/>
              </w:rPr>
              <w:t>West of Scotland greater silver smelt  </w:t>
            </w:r>
          </w:p>
          <w:p w14:paraId="56DC0ACD" w14:textId="77777777" w:rsidR="005927ED" w:rsidRPr="007B74E4" w:rsidRDefault="005927ED" w:rsidP="00CC5E20">
            <w:pPr>
              <w:rPr>
                <w:rFonts w:ascii="Arial" w:hAnsi="Arial" w:cs="Arial"/>
                <w:sz w:val="24"/>
                <w:szCs w:val="24"/>
              </w:rPr>
            </w:pPr>
          </w:p>
        </w:tc>
        <w:tc>
          <w:tcPr>
            <w:tcW w:w="2268" w:type="dxa"/>
            <w:noWrap/>
          </w:tcPr>
          <w:p w14:paraId="529746F8"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c>
          <w:tcPr>
            <w:tcW w:w="2835" w:type="dxa"/>
            <w:noWrap/>
          </w:tcPr>
          <w:p w14:paraId="108A7289"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0</w:t>
            </w:r>
          </w:p>
        </w:tc>
      </w:tr>
      <w:tr w:rsidR="005927ED" w:rsidRPr="007B74E4" w14:paraId="3BD70A85" w14:textId="77777777" w:rsidTr="00CC5E20">
        <w:trPr>
          <w:trHeight w:val="300"/>
        </w:trPr>
        <w:tc>
          <w:tcPr>
            <w:tcW w:w="3397" w:type="dxa"/>
            <w:noWrap/>
          </w:tcPr>
          <w:p w14:paraId="2729C3A7" w14:textId="77777777" w:rsidR="005927ED" w:rsidRPr="007B74E4" w:rsidRDefault="005927ED" w:rsidP="00CC5E20">
            <w:pPr>
              <w:rPr>
                <w:rFonts w:ascii="Arial" w:hAnsi="Arial" w:cs="Arial"/>
                <w:sz w:val="24"/>
                <w:szCs w:val="24"/>
              </w:rPr>
            </w:pPr>
            <w:r w:rsidRPr="007B74E4">
              <w:rPr>
                <w:rFonts w:ascii="Arial" w:hAnsi="Arial" w:cs="Arial"/>
                <w:sz w:val="24"/>
                <w:szCs w:val="24"/>
              </w:rPr>
              <w:t>Northern Shelf blue whiting </w:t>
            </w:r>
          </w:p>
        </w:tc>
        <w:tc>
          <w:tcPr>
            <w:tcW w:w="2268" w:type="dxa"/>
            <w:noWrap/>
          </w:tcPr>
          <w:p w14:paraId="0843AEE5"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19,830</w:t>
            </w:r>
          </w:p>
        </w:tc>
        <w:tc>
          <w:tcPr>
            <w:tcW w:w="2835" w:type="dxa"/>
            <w:noWrap/>
          </w:tcPr>
          <w:p w14:paraId="279936C6"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7,434</w:t>
            </w:r>
          </w:p>
        </w:tc>
      </w:tr>
      <w:tr w:rsidR="005927ED" w:rsidRPr="007B74E4" w14:paraId="23C1422E" w14:textId="77777777" w:rsidTr="00CC5E20">
        <w:trPr>
          <w:trHeight w:val="300"/>
        </w:trPr>
        <w:tc>
          <w:tcPr>
            <w:tcW w:w="3397" w:type="dxa"/>
            <w:noWrap/>
            <w:hideMark/>
          </w:tcPr>
          <w:p w14:paraId="43BB59D2" w14:textId="77777777" w:rsidR="005927ED" w:rsidRPr="007B74E4" w:rsidRDefault="005927ED" w:rsidP="00CC5E20">
            <w:pPr>
              <w:rPr>
                <w:rFonts w:ascii="Arial" w:hAnsi="Arial" w:cs="Arial"/>
                <w:sz w:val="24"/>
                <w:szCs w:val="24"/>
              </w:rPr>
            </w:pPr>
            <w:r w:rsidRPr="007B74E4">
              <w:rPr>
                <w:rFonts w:ascii="Arial" w:hAnsi="Arial" w:cs="Arial"/>
                <w:sz w:val="24"/>
                <w:szCs w:val="24"/>
              </w:rPr>
              <w:t>North Sea horse mackerel</w:t>
            </w:r>
          </w:p>
        </w:tc>
        <w:tc>
          <w:tcPr>
            <w:tcW w:w="2268" w:type="dxa"/>
            <w:noWrap/>
          </w:tcPr>
          <w:p w14:paraId="0571AE66"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18</w:t>
            </w:r>
          </w:p>
        </w:tc>
        <w:tc>
          <w:tcPr>
            <w:tcW w:w="2835" w:type="dxa"/>
            <w:noWrap/>
          </w:tcPr>
          <w:p w14:paraId="753C421D" w14:textId="77777777" w:rsidR="005927ED" w:rsidRPr="007B74E4" w:rsidRDefault="005927ED" w:rsidP="00CC5E20">
            <w:pPr>
              <w:jc w:val="right"/>
              <w:rPr>
                <w:rFonts w:ascii="Arial" w:hAnsi="Arial" w:cs="Arial"/>
                <w:sz w:val="24"/>
                <w:szCs w:val="24"/>
              </w:rPr>
            </w:pPr>
            <w:r w:rsidRPr="007B74E4">
              <w:rPr>
                <w:rFonts w:ascii="Arial" w:hAnsi="Arial" w:cs="Arial"/>
                <w:sz w:val="24"/>
                <w:szCs w:val="24"/>
              </w:rPr>
              <w:t>9</w:t>
            </w:r>
          </w:p>
        </w:tc>
      </w:tr>
    </w:tbl>
    <w:p w14:paraId="4814AB10"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Source: SG internal fisheries management data, August 2025. Figures may differ from the published </w:t>
      </w:r>
      <w:hyperlink r:id="rId17" w:history="1">
        <w:r w:rsidRPr="007B74E4">
          <w:rPr>
            <w:rStyle w:val="Hyperlink"/>
            <w:rFonts w:ascii="Arial" w:hAnsi="Arial" w:cs="Arial"/>
            <w:sz w:val="24"/>
            <w:szCs w:val="24"/>
          </w:rPr>
          <w:t>UK sea fisheries annual statistics report 2024</w:t>
        </w:r>
      </w:hyperlink>
      <w:r w:rsidRPr="007B74E4">
        <w:rPr>
          <w:rFonts w:ascii="Arial" w:hAnsi="Arial" w:cs="Arial"/>
          <w:sz w:val="24"/>
          <w:szCs w:val="24"/>
        </w:rPr>
        <w:t>.</w:t>
      </w:r>
    </w:p>
    <w:p w14:paraId="5BF3622C" w14:textId="77777777" w:rsidR="005927ED" w:rsidRPr="007B74E4" w:rsidRDefault="005927ED" w:rsidP="005927ED">
      <w:pPr>
        <w:rPr>
          <w:rFonts w:ascii="Arial" w:eastAsia="Calibri" w:hAnsi="Arial" w:cs="Arial"/>
          <w:kern w:val="0"/>
          <w:sz w:val="24"/>
          <w:szCs w:val="24"/>
          <w14:ligatures w14:val="none"/>
        </w:rPr>
      </w:pPr>
    </w:p>
    <w:p w14:paraId="230A1843" w14:textId="28B17A06" w:rsidR="005927ED" w:rsidRPr="007B74E4" w:rsidRDefault="005927ED" w:rsidP="005927ED">
      <w:pPr>
        <w:rPr>
          <w:rFonts w:ascii="Arial" w:eastAsia="Calibri" w:hAnsi="Arial" w:cs="Arial"/>
          <w:kern w:val="0"/>
          <w:sz w:val="24"/>
          <w:szCs w:val="24"/>
          <w14:ligatures w14:val="none"/>
        </w:rPr>
      </w:pPr>
      <w:r w:rsidRPr="007B74E4">
        <w:rPr>
          <w:rFonts w:ascii="Arial" w:eastAsia="Calibri" w:hAnsi="Arial" w:cs="Arial"/>
          <w:kern w:val="0"/>
          <w:sz w:val="24"/>
          <w:szCs w:val="24"/>
          <w14:ligatures w14:val="none"/>
        </w:rPr>
        <w:lastRenderedPageBreak/>
        <w:t xml:space="preserve">Climate change is reshaping pelagic fish distributions, productivity and ecosystem interactions, creating significant challenges for fisheries management systems which are largely based on historical conditions (Baudron et al., </w:t>
      </w:r>
      <w:r w:rsidR="002F1C2D" w:rsidRPr="007B74E4">
        <w:rPr>
          <w:rFonts w:ascii="Arial" w:eastAsia="Calibri" w:hAnsi="Arial" w:cs="Arial"/>
          <w:kern w:val="0"/>
          <w:sz w:val="24"/>
          <w:szCs w:val="24"/>
          <w14:ligatures w14:val="none"/>
        </w:rPr>
        <w:t>2020;</w:t>
      </w:r>
      <w:r w:rsidRPr="007B74E4">
        <w:rPr>
          <w:rFonts w:ascii="Arial" w:eastAsia="Calibri" w:hAnsi="Arial" w:cs="Arial"/>
          <w:kern w:val="0"/>
          <w:sz w:val="24"/>
          <w:szCs w:val="24"/>
          <w14:ligatures w14:val="none"/>
        </w:rPr>
        <w:t xml:space="preserve"> Townhill et al., 2023). Ecological shifts have important implications for marine food webs, linking lower and upper trophic levels, meaning changes in their abundance or distribution can have cascading ecosystem effects. Pelagic fisheries increasingly require ecosystem based management, particularly for forage species such as herring and sprat (ICES, 2023).</w:t>
      </w:r>
    </w:p>
    <w:p w14:paraId="555199DB" w14:textId="77777777" w:rsidR="005927ED" w:rsidRPr="007B74E4" w:rsidRDefault="005927ED" w:rsidP="005927ED">
      <w:pPr>
        <w:rPr>
          <w:rFonts w:ascii="Arial" w:hAnsi="Arial" w:cs="Arial"/>
          <w:sz w:val="24"/>
          <w:szCs w:val="24"/>
        </w:rPr>
      </w:pPr>
    </w:p>
    <w:p w14:paraId="36884665" w14:textId="77777777" w:rsidR="005927ED" w:rsidRPr="007B74E4" w:rsidRDefault="005927ED" w:rsidP="005927ED">
      <w:pPr>
        <w:rPr>
          <w:rFonts w:ascii="Arial" w:hAnsi="Arial" w:cs="Arial"/>
          <w:sz w:val="24"/>
          <w:szCs w:val="24"/>
        </w:rPr>
      </w:pPr>
      <w:r w:rsidRPr="007B74E4">
        <w:rPr>
          <w:rFonts w:ascii="Arial" w:hAnsi="Arial" w:cs="Arial"/>
          <w:sz w:val="24"/>
          <w:szCs w:val="24"/>
        </w:rPr>
        <w:t>The five pelagic FMPs set out policies and actions relating to the stocks which are to be implemented in a way that is consistent with, and supportive of, the wider achievement of the fisheries objectives set out in the 2020 Act, the policies contained within the JFS and other legislative commitments.</w:t>
      </w:r>
    </w:p>
    <w:p w14:paraId="25015062" w14:textId="77777777" w:rsidR="005927ED" w:rsidRPr="007B74E4" w:rsidRDefault="005927ED" w:rsidP="005927ED">
      <w:pPr>
        <w:rPr>
          <w:rFonts w:ascii="Arial" w:hAnsi="Arial" w:cs="Arial"/>
          <w:sz w:val="24"/>
          <w:szCs w:val="24"/>
        </w:rPr>
      </w:pPr>
      <w:r w:rsidRPr="007B74E4">
        <w:rPr>
          <w:rFonts w:ascii="Arial" w:hAnsi="Arial" w:cs="Arial"/>
          <w:sz w:val="24"/>
          <w:szCs w:val="24"/>
        </w:rPr>
        <w:t> </w:t>
      </w:r>
    </w:p>
    <w:p w14:paraId="3E758237" w14:textId="77777777" w:rsidR="005927ED" w:rsidRPr="007B74E4" w:rsidRDefault="005927ED" w:rsidP="005927ED">
      <w:pPr>
        <w:rPr>
          <w:rFonts w:ascii="Arial" w:hAnsi="Arial" w:cs="Arial"/>
          <w:sz w:val="24"/>
          <w:szCs w:val="24"/>
        </w:rPr>
      </w:pPr>
      <w:r w:rsidRPr="007B74E4">
        <w:rPr>
          <w:rFonts w:ascii="Arial" w:hAnsi="Arial" w:cs="Arial"/>
          <w:sz w:val="24"/>
          <w:szCs w:val="24"/>
        </w:rPr>
        <w:t>These plans also identify evidence gaps and consider research for the species they cover to enhance current management and ensure that sustainability is maintained.</w:t>
      </w:r>
    </w:p>
    <w:p w14:paraId="3D113DD0" w14:textId="77777777" w:rsidR="005927ED" w:rsidRPr="007B74E4" w:rsidRDefault="005927ED" w:rsidP="005927ED">
      <w:pPr>
        <w:rPr>
          <w:rFonts w:ascii="Arial" w:hAnsi="Arial" w:cs="Arial"/>
          <w:sz w:val="24"/>
          <w:szCs w:val="24"/>
        </w:rPr>
      </w:pPr>
      <w:r w:rsidRPr="007B74E4">
        <w:rPr>
          <w:rFonts w:ascii="Arial" w:hAnsi="Arial" w:cs="Arial"/>
          <w:sz w:val="24"/>
          <w:szCs w:val="24"/>
        </w:rPr>
        <w:t> </w:t>
      </w:r>
    </w:p>
    <w:p w14:paraId="597D397D" w14:textId="77777777" w:rsidR="005927ED" w:rsidRPr="007B74E4" w:rsidRDefault="005927ED" w:rsidP="005927ED">
      <w:pPr>
        <w:rPr>
          <w:rFonts w:ascii="Arial" w:hAnsi="Arial" w:cs="Arial"/>
          <w:sz w:val="24"/>
          <w:szCs w:val="24"/>
        </w:rPr>
      </w:pPr>
      <w:r w:rsidRPr="007B74E4">
        <w:rPr>
          <w:rFonts w:ascii="Arial" w:hAnsi="Arial" w:cs="Arial"/>
          <w:sz w:val="24"/>
          <w:szCs w:val="24"/>
        </w:rPr>
        <w:t>The FMPs describe an overview of the current fisheries for pelagic species in UK waters as well as providing information on available stock assessments, maximum sustainable yield (MSY) and stock biology.</w:t>
      </w:r>
    </w:p>
    <w:p w14:paraId="341363F3" w14:textId="77777777" w:rsidR="005927ED" w:rsidRPr="007B74E4" w:rsidRDefault="005927ED" w:rsidP="005927ED">
      <w:pPr>
        <w:rPr>
          <w:rFonts w:ascii="Arial" w:hAnsi="Arial" w:cs="Arial"/>
          <w:sz w:val="24"/>
          <w:szCs w:val="24"/>
        </w:rPr>
      </w:pPr>
      <w:r w:rsidRPr="007B74E4">
        <w:rPr>
          <w:rFonts w:ascii="Arial" w:hAnsi="Arial" w:cs="Arial"/>
          <w:sz w:val="24"/>
          <w:szCs w:val="24"/>
        </w:rPr>
        <w:t> </w:t>
      </w:r>
    </w:p>
    <w:p w14:paraId="66EE3E90" w14:textId="77777777" w:rsidR="005927ED" w:rsidRPr="007B74E4" w:rsidRDefault="005927ED" w:rsidP="005927ED">
      <w:pPr>
        <w:rPr>
          <w:rFonts w:ascii="Arial" w:eastAsiaTheme="minorHAnsi" w:hAnsi="Arial" w:cs="Arial"/>
          <w:b/>
          <w:bCs/>
          <w:kern w:val="24"/>
          <w:sz w:val="24"/>
          <w:szCs w:val="24"/>
          <w14:ligatures w14:val="none"/>
        </w:rPr>
      </w:pPr>
      <w:r w:rsidRPr="007B74E4">
        <w:rPr>
          <w:rFonts w:ascii="Arial" w:hAnsi="Arial" w:cs="Arial"/>
          <w:sz w:val="24"/>
          <w:szCs w:val="24"/>
        </w:rPr>
        <w:br w:type="page"/>
      </w:r>
    </w:p>
    <w:p w14:paraId="5CE2F99F" w14:textId="77777777" w:rsidR="005927ED" w:rsidRPr="007B74E4" w:rsidRDefault="005927ED" w:rsidP="005927ED">
      <w:pPr>
        <w:rPr>
          <w:rFonts w:ascii="Arial" w:hAnsi="Arial" w:cs="Arial"/>
          <w:sz w:val="24"/>
          <w:szCs w:val="24"/>
        </w:rPr>
      </w:pPr>
    </w:p>
    <w:p w14:paraId="30743C84" w14:textId="77777777" w:rsidR="005927ED" w:rsidRPr="007B74E4" w:rsidRDefault="005927ED" w:rsidP="005927ED">
      <w:pPr>
        <w:pStyle w:val="Head1"/>
      </w:pPr>
      <w:bookmarkStart w:id="4" w:name="_Toc233124013"/>
      <w:r w:rsidRPr="007B74E4">
        <w:t>Section 1: Background, aims and options</w:t>
      </w:r>
      <w:bookmarkEnd w:id="4"/>
    </w:p>
    <w:p w14:paraId="76425729" w14:textId="77777777" w:rsidR="005927ED" w:rsidRPr="007B74E4" w:rsidRDefault="005927ED" w:rsidP="005927ED">
      <w:pPr>
        <w:rPr>
          <w:rFonts w:ascii="Arial" w:hAnsi="Arial" w:cs="Arial"/>
        </w:rPr>
      </w:pPr>
    </w:p>
    <w:p w14:paraId="6A16BD79" w14:textId="77777777" w:rsidR="005927ED" w:rsidRPr="007B74E4" w:rsidRDefault="005927ED" w:rsidP="005927ED">
      <w:pPr>
        <w:pStyle w:val="Head2"/>
      </w:pPr>
      <w:bookmarkStart w:id="5" w:name="_Toc233124014"/>
      <w:r w:rsidRPr="007B74E4">
        <w:t>Background to policy issue</w:t>
      </w:r>
      <w:bookmarkEnd w:id="5"/>
      <w:r w:rsidRPr="007B74E4">
        <w:t xml:space="preserve"> </w:t>
      </w:r>
    </w:p>
    <w:p w14:paraId="056FB549" w14:textId="77777777" w:rsidR="005927ED" w:rsidRPr="007B74E4" w:rsidRDefault="005927ED" w:rsidP="005927ED">
      <w:pPr>
        <w:rPr>
          <w:rFonts w:ascii="Arial" w:hAnsi="Arial" w:cs="Arial"/>
        </w:rPr>
      </w:pPr>
    </w:p>
    <w:p w14:paraId="298A5B55" w14:textId="77777777" w:rsidR="005927ED" w:rsidRPr="007B74E4" w:rsidRDefault="005927ED" w:rsidP="005927ED">
      <w:pPr>
        <w:rPr>
          <w:rFonts w:ascii="Arial" w:hAnsi="Arial" w:cs="Arial"/>
          <w:sz w:val="24"/>
          <w:szCs w:val="24"/>
        </w:rPr>
      </w:pPr>
      <w:r w:rsidRPr="007B74E4">
        <w:rPr>
          <w:rFonts w:ascii="Arial" w:hAnsi="Arial" w:cs="Arial"/>
          <w:sz w:val="24"/>
          <w:szCs w:val="24"/>
        </w:rPr>
        <w:t>The Fisheries Act 2020</w:t>
      </w:r>
      <w:r w:rsidRPr="007B74E4">
        <w:rPr>
          <w:rStyle w:val="FootnoteReference"/>
          <w:rFonts w:ascii="Arial" w:hAnsi="Arial" w:cs="Arial"/>
          <w:sz w:val="24"/>
          <w:szCs w:val="24"/>
        </w:rPr>
        <w:footnoteReference w:id="4"/>
      </w:r>
      <w:r w:rsidRPr="007B74E4">
        <w:rPr>
          <w:rFonts w:ascii="Arial" w:hAnsi="Arial" w:cs="Arial"/>
          <w:sz w:val="24"/>
          <w:szCs w:val="24"/>
        </w:rPr>
        <w:t xml:space="preserve"> (‘the 2020 Act’) provides the framework to manage UK fisheries as an independent coastal state outside of the EU Common Fisheries Policy. The 2020 Act requires the UK fisheries policy authorities (Department for Environment, Food &amp; Rural Affairs (Defra) and the devolved administrations in Scotland, Northern Ireland, and Wales) to prepare and publish fisheries management plans (FMPs) to help deliver the UK ambition for sustainable fisheries. The relevant UK fisheries policy authorities for these six pelagic FMPs are Defra, Scottish Government and the Department of Agriculture, Environment and Rural Affairs in Northern Ireland (DAERA):</w:t>
      </w:r>
    </w:p>
    <w:p w14:paraId="3BDE8CFE" w14:textId="77777777" w:rsidR="005927ED" w:rsidRPr="007B74E4" w:rsidRDefault="005927ED" w:rsidP="005927ED">
      <w:pPr>
        <w:rPr>
          <w:rFonts w:ascii="Arial" w:hAnsi="Arial" w:cs="Arial"/>
          <w:sz w:val="24"/>
          <w:szCs w:val="24"/>
        </w:rPr>
      </w:pPr>
    </w:p>
    <w:p w14:paraId="63D3C031"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Atlanto Scandian herring FMP</w:t>
      </w:r>
    </w:p>
    <w:p w14:paraId="4D81026C"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North Sea herring FMP</w:t>
      </w:r>
    </w:p>
    <w:p w14:paraId="6946D547"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West Coast of Scotland (and Clyde) herring FMP</w:t>
      </w:r>
    </w:p>
    <w:p w14:paraId="5D710226"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North Sea greater silver smelt FMP</w:t>
      </w:r>
    </w:p>
    <w:p w14:paraId="536C4139"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West of Scotland greater silver smelt FMP</w:t>
      </w:r>
    </w:p>
    <w:p w14:paraId="7B0F043D"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North Sea horse mackerel FMP</w:t>
      </w:r>
    </w:p>
    <w:p w14:paraId="0A22A4E1" w14:textId="77777777" w:rsidR="005927ED" w:rsidRPr="007B74E4" w:rsidRDefault="005927ED" w:rsidP="005927ED">
      <w:pPr>
        <w:rPr>
          <w:rFonts w:ascii="Arial" w:hAnsi="Arial" w:cs="Arial"/>
          <w:sz w:val="24"/>
          <w:szCs w:val="24"/>
        </w:rPr>
      </w:pPr>
    </w:p>
    <w:p w14:paraId="6E1C0402" w14:textId="77777777" w:rsidR="005927ED" w:rsidRPr="007B74E4" w:rsidRDefault="005927ED" w:rsidP="005927ED">
      <w:pPr>
        <w:rPr>
          <w:rFonts w:ascii="Arial" w:hAnsi="Arial" w:cs="Arial"/>
          <w:sz w:val="24"/>
          <w:szCs w:val="24"/>
        </w:rPr>
      </w:pPr>
      <w:r w:rsidRPr="007B74E4">
        <w:rPr>
          <w:rFonts w:ascii="Arial" w:hAnsi="Arial" w:cs="Arial"/>
          <w:sz w:val="24"/>
          <w:szCs w:val="24"/>
        </w:rPr>
        <w:t>For the following two FMPs the relevant UK fisheries policy authorities are Defra, Scottish Government, the Welsh Government and the Department of Agriculture, Environment and Rural Affairs in Northern Ireland (DAERA):</w:t>
      </w:r>
    </w:p>
    <w:p w14:paraId="43D2AA60" w14:textId="77777777" w:rsidR="005927ED" w:rsidRPr="007B74E4" w:rsidRDefault="005927ED" w:rsidP="005927ED">
      <w:pPr>
        <w:rPr>
          <w:rFonts w:ascii="Arial" w:hAnsi="Arial" w:cs="Arial"/>
          <w:sz w:val="24"/>
          <w:szCs w:val="24"/>
        </w:rPr>
      </w:pPr>
    </w:p>
    <w:p w14:paraId="03DF0337" w14:textId="2EC86FA4"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 xml:space="preserve">Northern </w:t>
      </w:r>
      <w:r w:rsidR="008A27EF">
        <w:rPr>
          <w:rFonts w:ascii="Arial" w:hAnsi="Arial" w:cs="Arial"/>
          <w:sz w:val="24"/>
          <w:szCs w:val="24"/>
        </w:rPr>
        <w:t>S</w:t>
      </w:r>
      <w:r w:rsidRPr="007B74E4">
        <w:rPr>
          <w:rFonts w:ascii="Arial" w:hAnsi="Arial" w:cs="Arial"/>
          <w:sz w:val="24"/>
          <w:szCs w:val="24"/>
        </w:rPr>
        <w:t>helf mackerel FMP</w:t>
      </w:r>
    </w:p>
    <w:p w14:paraId="1D8AFC65" w14:textId="77777777" w:rsidR="005927ED" w:rsidRPr="007B74E4" w:rsidRDefault="005927ED" w:rsidP="005927ED">
      <w:pPr>
        <w:numPr>
          <w:ilvl w:val="0"/>
          <w:numId w:val="3"/>
        </w:numPr>
        <w:rPr>
          <w:rFonts w:ascii="Arial" w:hAnsi="Arial" w:cs="Arial"/>
          <w:sz w:val="24"/>
          <w:szCs w:val="24"/>
        </w:rPr>
      </w:pPr>
      <w:r w:rsidRPr="007B74E4">
        <w:rPr>
          <w:rFonts w:ascii="Arial" w:hAnsi="Arial" w:cs="Arial"/>
          <w:sz w:val="24"/>
          <w:szCs w:val="24"/>
        </w:rPr>
        <w:t>Northern Shelf blue whiting FMP</w:t>
      </w:r>
    </w:p>
    <w:p w14:paraId="780176FE" w14:textId="77777777" w:rsidR="005927ED" w:rsidRPr="007B74E4" w:rsidRDefault="005927ED" w:rsidP="005927ED">
      <w:pPr>
        <w:rPr>
          <w:rFonts w:ascii="Arial" w:hAnsi="Arial" w:cs="Arial"/>
          <w:sz w:val="24"/>
          <w:szCs w:val="24"/>
        </w:rPr>
      </w:pPr>
    </w:p>
    <w:p w14:paraId="6B3EF957" w14:textId="77777777" w:rsidR="005927ED" w:rsidRPr="007B74E4" w:rsidRDefault="005927ED" w:rsidP="005927ED">
      <w:pPr>
        <w:rPr>
          <w:rFonts w:ascii="Arial" w:hAnsi="Arial" w:cs="Arial"/>
          <w:sz w:val="24"/>
          <w:szCs w:val="24"/>
        </w:rPr>
      </w:pPr>
      <w:r w:rsidRPr="007B74E4">
        <w:rPr>
          <w:rFonts w:ascii="Arial" w:hAnsi="Arial" w:cs="Arial"/>
          <w:sz w:val="24"/>
          <w:szCs w:val="24"/>
        </w:rPr>
        <w:t>Sea fish and shellfish are a common good because they are rivalrous</w:t>
      </w:r>
      <w:r w:rsidRPr="007B74E4">
        <w:rPr>
          <w:rStyle w:val="FootnoteReference"/>
          <w:rFonts w:ascii="Arial" w:hAnsi="Arial" w:cs="Arial"/>
          <w:sz w:val="24"/>
          <w:szCs w:val="24"/>
        </w:rPr>
        <w:footnoteReference w:id="5"/>
      </w:r>
      <w:r w:rsidRPr="007B74E4">
        <w:rPr>
          <w:rFonts w:ascii="Arial" w:hAnsi="Arial" w:cs="Arial"/>
          <w:sz w:val="24"/>
          <w:szCs w:val="24"/>
        </w:rPr>
        <w:t xml:space="preserve"> and non-excludable</w:t>
      </w:r>
      <w:r w:rsidRPr="007B74E4">
        <w:rPr>
          <w:rStyle w:val="FootnoteReference"/>
          <w:rFonts w:ascii="Arial" w:hAnsi="Arial" w:cs="Arial"/>
          <w:sz w:val="24"/>
          <w:szCs w:val="24"/>
        </w:rPr>
        <w:footnoteReference w:id="6"/>
      </w:r>
      <w:r w:rsidRPr="007B74E4">
        <w:rPr>
          <w:rFonts w:ascii="Arial" w:hAnsi="Arial" w:cs="Arial"/>
          <w:sz w:val="24"/>
          <w:szCs w:val="24"/>
        </w:rPr>
        <w:t>. Given these characteristics, overexploitation and overconsumption are risks unless governments intervene. In addition to these characteristics, there are also negative externalities</w:t>
      </w:r>
      <w:r w:rsidRPr="007B74E4">
        <w:rPr>
          <w:rStyle w:val="FootnoteReference"/>
          <w:rFonts w:ascii="Arial" w:hAnsi="Arial" w:cs="Arial"/>
          <w:sz w:val="24"/>
          <w:szCs w:val="24"/>
        </w:rPr>
        <w:footnoteReference w:id="7"/>
      </w:r>
      <w:r w:rsidRPr="007B74E4">
        <w:rPr>
          <w:rFonts w:ascii="Arial" w:hAnsi="Arial" w:cs="Arial"/>
          <w:sz w:val="24"/>
          <w:szCs w:val="24"/>
        </w:rPr>
        <w:t xml:space="preserve"> associated with fishing itself and positive externalities associated with having a healthy and diverse marine environment. FMPs are one of many tools available to the Scottish Government (and other Governments), and managing the sustainability of fish stocks can additionally involve setting fishing quotas, introducing technical measures, or encouraging research and development.</w:t>
      </w:r>
    </w:p>
    <w:p w14:paraId="69F05D3D" w14:textId="77777777" w:rsidR="005927ED" w:rsidRPr="007B74E4" w:rsidRDefault="005927ED" w:rsidP="005927ED">
      <w:pPr>
        <w:rPr>
          <w:rFonts w:ascii="Arial" w:hAnsi="Arial" w:cs="Arial"/>
          <w:sz w:val="24"/>
          <w:szCs w:val="24"/>
        </w:rPr>
      </w:pPr>
    </w:p>
    <w:p w14:paraId="4535D6E2" w14:textId="77777777" w:rsidR="005927ED" w:rsidRPr="007B74E4" w:rsidRDefault="005927ED" w:rsidP="005927ED">
      <w:pPr>
        <w:rPr>
          <w:rFonts w:ascii="Arial" w:hAnsi="Arial" w:cs="Arial"/>
          <w:sz w:val="24"/>
          <w:szCs w:val="24"/>
        </w:rPr>
      </w:pPr>
      <w:r w:rsidRPr="007B74E4">
        <w:rPr>
          <w:rFonts w:ascii="Arial" w:hAnsi="Arial" w:cs="Arial"/>
          <w:sz w:val="24"/>
          <w:szCs w:val="24"/>
        </w:rPr>
        <w:t>The Joint Fisheries Statement</w:t>
      </w:r>
      <w:r w:rsidRPr="007B74E4">
        <w:rPr>
          <w:rStyle w:val="FootnoteReference"/>
          <w:rFonts w:ascii="Arial" w:hAnsi="Arial" w:cs="Arial"/>
          <w:sz w:val="24"/>
          <w:szCs w:val="24"/>
        </w:rPr>
        <w:footnoteReference w:id="8"/>
      </w:r>
      <w:r w:rsidRPr="007B74E4">
        <w:rPr>
          <w:rFonts w:ascii="Arial" w:hAnsi="Arial" w:cs="Arial"/>
          <w:sz w:val="24"/>
          <w:szCs w:val="24"/>
        </w:rPr>
        <w:t xml:space="preserve"> (JFS), published in November 2022, and updated in December 2024, lists 43 proposed FMPs to be published, including eight pelagic FMPs in UK waters, of which five will be consulted on first The fisheries policy authorities have a statutory obligation to prepare and publish any FMP on that list in accordance with the timescales set out in the JFS.</w:t>
      </w:r>
    </w:p>
    <w:p w14:paraId="3D818141" w14:textId="77777777" w:rsidR="005927ED" w:rsidRPr="007B74E4" w:rsidRDefault="005927ED" w:rsidP="005927ED">
      <w:pPr>
        <w:rPr>
          <w:rFonts w:ascii="Arial" w:hAnsi="Arial" w:cs="Arial"/>
          <w:sz w:val="24"/>
          <w:szCs w:val="24"/>
        </w:rPr>
      </w:pPr>
    </w:p>
    <w:p w14:paraId="2C487CB2"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FMPs set out the policies designed to restore one or more stocks of sea fish to, or </w:t>
      </w:r>
    </w:p>
    <w:p w14:paraId="73E48995"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maintain them at, sustainable levels or to contribute to that restoration or maintenance. Where there is not sufficient scientific evidence for assessing Maximum Sustainable Yield (MSY), plans may also consider steps to obtain scientific evidence for this. Each plan specifies the stock(s), type of fishing and the geographic area covered. Each FMP also identifies the actions that could be used to deliver its policies. Such measures may include both existing or new regulations, statutory instruments, technical measures, or non-statutory routes such as research plans, voluntary agreements, or codes of conduct. </w:t>
      </w:r>
    </w:p>
    <w:p w14:paraId="217F1FED" w14:textId="77777777" w:rsidR="005927ED" w:rsidRPr="007B74E4" w:rsidRDefault="005927ED" w:rsidP="005927ED">
      <w:pPr>
        <w:rPr>
          <w:rFonts w:ascii="Arial" w:hAnsi="Arial" w:cs="Arial"/>
          <w:sz w:val="24"/>
          <w:szCs w:val="24"/>
        </w:rPr>
      </w:pPr>
    </w:p>
    <w:p w14:paraId="24F8983F" w14:textId="77777777" w:rsidR="005927ED" w:rsidRPr="007B74E4" w:rsidRDefault="005927ED" w:rsidP="005927ED">
      <w:pPr>
        <w:rPr>
          <w:rFonts w:ascii="Arial" w:hAnsi="Arial" w:cs="Arial"/>
          <w:sz w:val="24"/>
          <w:szCs w:val="24"/>
        </w:rPr>
      </w:pPr>
      <w:r w:rsidRPr="007B74E4">
        <w:rPr>
          <w:rFonts w:ascii="Arial" w:hAnsi="Arial" w:cs="Arial"/>
          <w:sz w:val="24"/>
          <w:szCs w:val="24"/>
        </w:rPr>
        <w:t>The precise mechanisms used will depend on the policies set out in the plan and, where appropriate, will be enforced by the relevant national fisheries authority. The proposed measures could be regulatory or deregulatory, and positive or negative to business. Where actions involved proposed introduction of new measures, separate assessment, consideration, consultation and engagement on those measures would take place in the usual way before any introduction.</w:t>
      </w:r>
    </w:p>
    <w:p w14:paraId="6FF577DC" w14:textId="77777777" w:rsidR="005927ED" w:rsidRPr="007B74E4" w:rsidRDefault="005927ED" w:rsidP="005927ED">
      <w:pPr>
        <w:rPr>
          <w:rFonts w:ascii="Arial" w:hAnsi="Arial" w:cs="Arial"/>
          <w:sz w:val="24"/>
          <w:szCs w:val="24"/>
        </w:rPr>
      </w:pPr>
    </w:p>
    <w:p w14:paraId="37041DFF" w14:textId="77777777" w:rsidR="005927ED" w:rsidRPr="007B74E4" w:rsidRDefault="005927ED" w:rsidP="005927ED">
      <w:pPr>
        <w:rPr>
          <w:rFonts w:ascii="Arial" w:hAnsi="Arial" w:cs="Arial"/>
          <w:sz w:val="24"/>
          <w:szCs w:val="24"/>
        </w:rPr>
      </w:pPr>
      <w:r w:rsidRPr="007B74E4">
        <w:rPr>
          <w:rFonts w:ascii="Arial" w:hAnsi="Arial" w:cs="Arial"/>
          <w:sz w:val="24"/>
          <w:szCs w:val="24"/>
        </w:rPr>
        <w:t>This BRIA has been produced to support the consultation on the pelagic FMPs. The purpose of the consultation is to seek views from those with an interest in the plans. The consultation also seeks feedback on the evidence presented in the plans and provides an opportunity for respondents to provide additional evidence that may support development of the FMP policies.</w:t>
      </w:r>
    </w:p>
    <w:p w14:paraId="33FF88D8" w14:textId="77777777" w:rsidR="005927ED" w:rsidRPr="007B74E4" w:rsidRDefault="005927ED" w:rsidP="005927ED">
      <w:pPr>
        <w:rPr>
          <w:rFonts w:ascii="Arial" w:hAnsi="Arial" w:cs="Arial"/>
        </w:rPr>
      </w:pPr>
    </w:p>
    <w:p w14:paraId="6D318BB3" w14:textId="77777777" w:rsidR="005927ED" w:rsidRPr="007B74E4" w:rsidRDefault="005927ED" w:rsidP="005927ED">
      <w:pPr>
        <w:pStyle w:val="Head2"/>
      </w:pPr>
      <w:bookmarkStart w:id="6" w:name="_Toc233124015"/>
      <w:r w:rsidRPr="007B74E4">
        <w:t>Purpose/ aim of action and desired effect</w:t>
      </w:r>
      <w:bookmarkEnd w:id="6"/>
    </w:p>
    <w:p w14:paraId="20C94BF0" w14:textId="77777777" w:rsidR="005927ED" w:rsidRPr="007B74E4" w:rsidRDefault="005927ED" w:rsidP="005927ED">
      <w:pPr>
        <w:rPr>
          <w:rFonts w:ascii="Arial" w:hAnsi="Arial" w:cs="Arial"/>
        </w:rPr>
      </w:pPr>
    </w:p>
    <w:p w14:paraId="6572FE0B"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aim of the five pelagic FMP is that the fisheries they cover are managed sustainably, to help ensure that stocks are maintained above biomass levels capable of producing MSY and to highlight areas that could lead to refinements to management approaches in the future. </w:t>
      </w:r>
    </w:p>
    <w:p w14:paraId="0788CD42" w14:textId="77777777" w:rsidR="005927ED" w:rsidRPr="007B74E4" w:rsidRDefault="005927ED" w:rsidP="005927ED">
      <w:pPr>
        <w:rPr>
          <w:rFonts w:ascii="Arial" w:hAnsi="Arial" w:cs="Arial"/>
          <w:sz w:val="24"/>
          <w:szCs w:val="24"/>
        </w:rPr>
      </w:pPr>
    </w:p>
    <w:p w14:paraId="2637079D" w14:textId="77777777" w:rsidR="005927ED" w:rsidRPr="007B74E4" w:rsidRDefault="005927ED" w:rsidP="005927ED">
      <w:pPr>
        <w:rPr>
          <w:rFonts w:ascii="Arial" w:hAnsi="Arial" w:cs="Arial"/>
          <w:sz w:val="24"/>
          <w:szCs w:val="24"/>
        </w:rPr>
      </w:pPr>
      <w:r w:rsidRPr="007B74E4">
        <w:rPr>
          <w:rFonts w:ascii="Arial" w:hAnsi="Arial" w:cs="Arial"/>
          <w:sz w:val="24"/>
          <w:szCs w:val="24"/>
        </w:rPr>
        <w:t>In developing the policies and actions for the five Scottish Government-led pelagic FMPs, the fisheries policy authorities have considered the current policy landscape. This includes applicable international agreements and declarations, conservation advice and wider policy development already underway, in addition to considering what additional evidence, measures or policies may be needed to support both the vision of these FMPs and delivery of the fisheries objectives.</w:t>
      </w:r>
    </w:p>
    <w:p w14:paraId="282BD313" w14:textId="77777777" w:rsidR="005927ED" w:rsidRPr="007B74E4" w:rsidRDefault="005927ED" w:rsidP="005927ED">
      <w:pPr>
        <w:rPr>
          <w:rFonts w:ascii="Arial" w:hAnsi="Arial" w:cs="Arial"/>
          <w:sz w:val="24"/>
          <w:szCs w:val="24"/>
        </w:rPr>
      </w:pPr>
    </w:p>
    <w:p w14:paraId="344D4CDB"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To ensure effective ongoing management of the pelagic fisheries in the UK waters, the five FMPs identify six policies (see below) focussed on domestic and international management priorities. These policies and the individual actions that sit under each policy, are subject to the consideration of the consultation and will be prioritised appropriately to ensure realistic and measurable outputs. </w:t>
      </w:r>
      <w:r w:rsidRPr="007B74E4">
        <w:rPr>
          <w:rFonts w:ascii="Arial" w:hAnsi="Arial" w:cs="Arial"/>
          <w:color w:val="000000" w:themeColor="text1"/>
          <w:kern w:val="0"/>
          <w:sz w:val="24"/>
          <w:szCs w:val="20"/>
          <w14:ligatures w14:val="none"/>
        </w:rPr>
        <w:t xml:space="preserve">They were drafted to meet the requirements of policies set out in the JFS and sections 6(3)(a) or 6(3)(b) of the Fisheries Act 2020 (where appropriate). </w:t>
      </w:r>
    </w:p>
    <w:p w14:paraId="4E15EE7D" w14:textId="77777777" w:rsidR="0064030F" w:rsidRDefault="0064030F" w:rsidP="005927ED">
      <w:pPr>
        <w:rPr>
          <w:rFonts w:ascii="Arial" w:eastAsia="Arial" w:hAnsi="Arial" w:cs="Arial"/>
          <w:color w:val="000000"/>
          <w:kern w:val="0"/>
          <w:sz w:val="24"/>
          <w:szCs w:val="24"/>
          <w14:ligatures w14:val="none"/>
        </w:rPr>
      </w:pPr>
    </w:p>
    <w:p w14:paraId="148A35F1" w14:textId="0D77F59B" w:rsidR="005927ED" w:rsidRPr="007B74E4" w:rsidRDefault="005927ED" w:rsidP="005927ED">
      <w:pPr>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 xml:space="preserve">There is significant overlap in policies for the five pelagic FMPs, apart from policies 1 and 2 in the West Coast of Scotland and Clyde herring FMP which are different to account for the complexities around these stocks; this is intentional to ensure that there is harmonisation in management approaches and delivery as far as </w:t>
      </w:r>
      <w:r w:rsidRPr="007B74E4">
        <w:rPr>
          <w:rFonts w:ascii="Arial" w:eastAsia="Arial" w:hAnsi="Arial" w:cs="Arial"/>
          <w:color w:val="000000"/>
          <w:kern w:val="0"/>
          <w:sz w:val="24"/>
          <w:szCs w:val="24"/>
          <w14:ligatures w14:val="none"/>
        </w:rPr>
        <w:lastRenderedPageBreak/>
        <w:t>practicable. Area specific considerations, which do not span all five FMPs, are denoted in the individual FMPs.</w:t>
      </w:r>
    </w:p>
    <w:p w14:paraId="154423DD" w14:textId="77777777" w:rsidR="005927ED" w:rsidRPr="007B74E4" w:rsidRDefault="005927ED" w:rsidP="005927ED">
      <w:pPr>
        <w:rPr>
          <w:rFonts w:ascii="Arial" w:hAnsi="Arial" w:cs="Arial"/>
          <w:kern w:val="0"/>
          <w:sz w:val="24"/>
          <w:szCs w:val="24"/>
          <w14:ligatures w14:val="none"/>
        </w:rPr>
      </w:pPr>
    </w:p>
    <w:p w14:paraId="7220896F" w14:textId="77777777" w:rsidR="005927ED" w:rsidRPr="007B74E4" w:rsidRDefault="005927ED" w:rsidP="005927ED">
      <w:pPr>
        <w:rPr>
          <w:rFonts w:ascii="Arial" w:hAnsi="Arial" w:cs="Arial"/>
          <w:kern w:val="0"/>
          <w:sz w:val="24"/>
          <w:szCs w:val="24"/>
          <w14:ligatures w14:val="none"/>
        </w:rPr>
      </w:pPr>
      <w:r w:rsidRPr="007B74E4">
        <w:rPr>
          <w:rFonts w:ascii="Arial" w:hAnsi="Arial" w:cs="Arial"/>
          <w:kern w:val="0"/>
          <w:sz w:val="24"/>
          <w:szCs w:val="24"/>
          <w14:ligatures w14:val="none"/>
        </w:rPr>
        <w:t xml:space="preserve">For North Sea herring, ASH, Northeast Atlantic mackerel and Northern Shelf blue whiting FMPs the six policies are: </w:t>
      </w:r>
    </w:p>
    <w:p w14:paraId="65455159" w14:textId="77777777" w:rsidR="005927ED" w:rsidRPr="007B74E4" w:rsidRDefault="005927ED" w:rsidP="005927ED">
      <w:pPr>
        <w:rPr>
          <w:rFonts w:ascii="Arial" w:hAnsi="Arial" w:cs="Arial"/>
          <w:kern w:val="0"/>
          <w:sz w:val="24"/>
          <w:szCs w:val="24"/>
          <w14:ligatures w14:val="none"/>
        </w:rPr>
      </w:pPr>
    </w:p>
    <w:p w14:paraId="2F4E9E12"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1: Harvest the relevant stock sustainably, contributing to maintaining or restoring the biomass above the level capable of producing MSY</w:t>
      </w:r>
    </w:p>
    <w:p w14:paraId="7612F11A"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2: Use the best-available scientific evidence to support management decisions relating to the setting of sustainable fishing opportunities</w:t>
      </w:r>
    </w:p>
    <w:p w14:paraId="4FB8671C"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3: Monitor catches of the relevant stock and ensure that where possible all catches are counted against quotas</w:t>
      </w:r>
    </w:p>
    <w:p w14:paraId="70586FF7"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4: Identify and support implementation of ecosystem-based fisheries management approaches appropriate for the relevant fisheries</w:t>
      </w:r>
    </w:p>
    <w:p w14:paraId="0BCC4BEC"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5: Support fishing businesses to deliver socio-economic and cultural benefits for communities</w:t>
      </w:r>
    </w:p>
    <w:p w14:paraId="37895382" w14:textId="77777777" w:rsidR="005927ED" w:rsidRPr="007B74E4" w:rsidRDefault="005927ED" w:rsidP="005927ED">
      <w:pPr>
        <w:numPr>
          <w:ilvl w:val="0"/>
          <w:numId w:val="32"/>
        </w:numPr>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Policy 6: Reduce the impact of fishing on climate change and support the fishing industry to adapt to the impacts of climate change</w:t>
      </w:r>
    </w:p>
    <w:p w14:paraId="2A55739A" w14:textId="77777777" w:rsidR="005927ED" w:rsidRPr="007B74E4" w:rsidRDefault="005927ED" w:rsidP="005927ED">
      <w:pPr>
        <w:ind w:left="720"/>
        <w:contextualSpacing/>
        <w:rPr>
          <w:rFonts w:ascii="Arial" w:hAnsi="Arial" w:cs="Arial"/>
          <w:color w:val="000000"/>
          <w:kern w:val="0"/>
          <w:sz w:val="24"/>
          <w:szCs w:val="24"/>
          <w14:ligatures w14:val="none"/>
        </w:rPr>
      </w:pPr>
      <w:r w:rsidRPr="007B74E4">
        <w:rPr>
          <w:rFonts w:ascii="Arial" w:hAnsi="Arial" w:cs="Arial"/>
          <w:color w:val="000000"/>
          <w:kern w:val="0"/>
          <w:sz w:val="24"/>
          <w:szCs w:val="24"/>
          <w14:ligatures w14:val="none"/>
        </w:rPr>
        <w:tab/>
      </w:r>
      <w:r w:rsidRPr="007B74E4">
        <w:rPr>
          <w:rFonts w:ascii="Arial" w:hAnsi="Arial" w:cs="Arial"/>
          <w:color w:val="000000"/>
          <w:kern w:val="0"/>
          <w:sz w:val="24"/>
          <w:szCs w:val="24"/>
          <w14:ligatures w14:val="none"/>
        </w:rPr>
        <w:tab/>
      </w:r>
      <w:r w:rsidRPr="007B74E4">
        <w:rPr>
          <w:rFonts w:ascii="Arial" w:hAnsi="Arial" w:cs="Arial"/>
          <w:color w:val="000000"/>
          <w:kern w:val="0"/>
          <w:sz w:val="24"/>
          <w:szCs w:val="24"/>
          <w14:ligatures w14:val="none"/>
        </w:rPr>
        <w:tab/>
      </w:r>
      <w:r w:rsidRPr="007B74E4">
        <w:rPr>
          <w:rFonts w:ascii="Arial" w:hAnsi="Arial" w:cs="Arial"/>
          <w:color w:val="000000"/>
          <w:kern w:val="0"/>
          <w:sz w:val="24"/>
          <w:szCs w:val="24"/>
          <w14:ligatures w14:val="none"/>
        </w:rPr>
        <w:tab/>
      </w:r>
      <w:r w:rsidRPr="007B74E4">
        <w:rPr>
          <w:rFonts w:ascii="Arial" w:hAnsi="Arial" w:cs="Arial"/>
          <w:color w:val="000000"/>
          <w:kern w:val="0"/>
          <w:sz w:val="24"/>
          <w:szCs w:val="24"/>
          <w14:ligatures w14:val="none"/>
        </w:rPr>
        <w:tab/>
      </w:r>
    </w:p>
    <w:p w14:paraId="2B409877" w14:textId="77777777" w:rsidR="005927ED" w:rsidRPr="007B74E4" w:rsidRDefault="005927ED" w:rsidP="005927ED">
      <w:pPr>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For the West Coast of Scotland and Clyde herring FMP, the six policies are:</w:t>
      </w:r>
    </w:p>
    <w:p w14:paraId="6825C593" w14:textId="77777777" w:rsidR="005927ED" w:rsidRPr="007B74E4" w:rsidRDefault="005927ED" w:rsidP="005927ED">
      <w:pPr>
        <w:rPr>
          <w:rFonts w:ascii="Arial" w:eastAsia="Arial" w:hAnsi="Arial" w:cs="Arial"/>
          <w:color w:val="000000"/>
          <w:kern w:val="0"/>
          <w:sz w:val="24"/>
          <w:szCs w:val="24"/>
          <w14:ligatures w14:val="none"/>
        </w:rPr>
      </w:pPr>
    </w:p>
    <w:p w14:paraId="0C198906" w14:textId="77777777" w:rsidR="005927ED" w:rsidRPr="007B74E4" w:rsidRDefault="005927ED" w:rsidP="005927ED">
      <w:pPr>
        <w:numPr>
          <w:ilvl w:val="0"/>
          <w:numId w:val="34"/>
        </w:numPr>
        <w:contextualSpacing/>
        <w:rPr>
          <w:rFonts w:ascii="Arial" w:eastAsia="Arial" w:hAnsi="Arial" w:cs="Arial"/>
          <w:color w:val="000000"/>
          <w:kern w:val="0"/>
          <w:sz w:val="24"/>
          <w:szCs w:val="24"/>
          <w14:ligatures w14:val="none"/>
        </w:rPr>
      </w:pPr>
      <w:r w:rsidRPr="007B74E4">
        <w:rPr>
          <w:rFonts w:ascii="Arial" w:hAnsi="Arial" w:cs="Arial"/>
          <w:color w:val="000000"/>
          <w:kern w:val="0"/>
          <w:sz w:val="24"/>
          <w:szCs w:val="20"/>
          <w14:ligatures w14:val="none"/>
        </w:rPr>
        <w:t>Policy 1:</w:t>
      </w:r>
      <w:r w:rsidRPr="007B74E4">
        <w:rPr>
          <w:rFonts w:ascii="Arial" w:hAnsi="Arial" w:cs="Arial"/>
          <w:kern w:val="0"/>
          <w:sz w:val="24"/>
          <w:szCs w:val="20"/>
          <w14:ligatures w14:val="none"/>
        </w:rPr>
        <w:t xml:space="preserve"> Continue to manage the WoS and Clyde herring stocks using existing tools to maintain stock levels</w:t>
      </w:r>
    </w:p>
    <w:p w14:paraId="4AAA5EE1" w14:textId="77777777" w:rsidR="005927ED" w:rsidRPr="007B74E4" w:rsidRDefault="005927ED" w:rsidP="005927ED">
      <w:pPr>
        <w:numPr>
          <w:ilvl w:val="0"/>
          <w:numId w:val="33"/>
        </w:numPr>
        <w:contextualSpacing/>
        <w:rPr>
          <w:rFonts w:ascii="Arial" w:hAnsi="Arial" w:cs="Arial"/>
          <w:color w:val="000000"/>
          <w:kern w:val="0"/>
          <w:sz w:val="24"/>
          <w:szCs w:val="20"/>
          <w14:ligatures w14:val="none"/>
        </w:rPr>
      </w:pPr>
      <w:r w:rsidRPr="007B74E4">
        <w:rPr>
          <w:rFonts w:ascii="Arial" w:hAnsi="Arial" w:cs="Arial"/>
          <w:color w:val="000000"/>
          <w:kern w:val="0"/>
          <w:sz w:val="24"/>
          <w:szCs w:val="20"/>
          <w14:ligatures w14:val="none"/>
        </w:rPr>
        <w:t>Policy 2:</w:t>
      </w:r>
      <w:r w:rsidRPr="007B74E4">
        <w:rPr>
          <w:rFonts w:ascii="Arial" w:hAnsi="Arial" w:cs="Arial"/>
          <w:kern w:val="0"/>
          <w:sz w:val="24"/>
          <w:szCs w:val="20"/>
          <w14:ligatures w14:val="none"/>
        </w:rPr>
        <w:t xml:space="preserve"> </w:t>
      </w:r>
      <w:r w:rsidRPr="007B74E4">
        <w:rPr>
          <w:rFonts w:ascii="Arial" w:hAnsi="Arial" w:cs="Arial"/>
          <w:color w:val="000000"/>
          <w:kern w:val="0"/>
          <w:sz w:val="24"/>
          <w:szCs w:val="20"/>
          <w14:ligatures w14:val="none"/>
        </w:rPr>
        <w:t>Improve the evidence base underpinning the stock, in order to support sustainable harvesting of the WoS and Clyde herring stocks, with biomass maintained above the level capable of producing MSY</w:t>
      </w:r>
    </w:p>
    <w:p w14:paraId="0506C452" w14:textId="77777777" w:rsidR="005927ED" w:rsidRPr="007B74E4" w:rsidRDefault="005927ED" w:rsidP="005927ED">
      <w:pPr>
        <w:numPr>
          <w:ilvl w:val="0"/>
          <w:numId w:val="33"/>
        </w:numPr>
        <w:contextualSpacing/>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Policy 3: Monitor catches of WoS and Clyde herring and ensure that where possible all catches are counted against quotas</w:t>
      </w:r>
    </w:p>
    <w:p w14:paraId="6FA62473" w14:textId="77777777" w:rsidR="005927ED" w:rsidRPr="007B74E4" w:rsidRDefault="005927ED" w:rsidP="005927ED">
      <w:pPr>
        <w:numPr>
          <w:ilvl w:val="0"/>
          <w:numId w:val="33"/>
        </w:numPr>
        <w:contextualSpacing/>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 xml:space="preserve">Policy 4: </w:t>
      </w:r>
      <w:r w:rsidRPr="007B74E4">
        <w:rPr>
          <w:rFonts w:ascii="Arial" w:hAnsi="Arial" w:cs="Arial"/>
          <w:color w:val="000000"/>
          <w:kern w:val="0"/>
          <w:sz w:val="24"/>
          <w:szCs w:val="24"/>
          <w14:ligatures w14:val="none"/>
        </w:rPr>
        <w:t>Identify and support implementation of ecosystem-based fisheries management approaches appropriate for the relevant fisheries</w:t>
      </w:r>
    </w:p>
    <w:p w14:paraId="53D1457D" w14:textId="77777777" w:rsidR="005927ED" w:rsidRPr="007B74E4" w:rsidRDefault="005927ED" w:rsidP="005927ED">
      <w:pPr>
        <w:numPr>
          <w:ilvl w:val="0"/>
          <w:numId w:val="33"/>
        </w:numPr>
        <w:contextualSpacing/>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Policy 5: Support fishing businesses to deliver socio-economic and cultural benefits for communities</w:t>
      </w:r>
    </w:p>
    <w:p w14:paraId="1E63B40A" w14:textId="77777777" w:rsidR="005927ED" w:rsidRPr="007B74E4" w:rsidRDefault="005927ED" w:rsidP="005927ED">
      <w:pPr>
        <w:numPr>
          <w:ilvl w:val="0"/>
          <w:numId w:val="33"/>
        </w:numPr>
        <w:contextualSpacing/>
        <w:rPr>
          <w:rFonts w:ascii="Arial" w:eastAsia="Arial" w:hAnsi="Arial" w:cs="Arial"/>
          <w:color w:val="000000"/>
          <w:kern w:val="0"/>
          <w:sz w:val="24"/>
          <w:szCs w:val="24"/>
          <w14:ligatures w14:val="none"/>
        </w:rPr>
      </w:pPr>
      <w:r w:rsidRPr="007B74E4">
        <w:rPr>
          <w:rFonts w:ascii="Arial" w:eastAsia="Arial" w:hAnsi="Arial" w:cs="Arial"/>
          <w:color w:val="000000"/>
          <w:kern w:val="0"/>
          <w:sz w:val="24"/>
          <w:szCs w:val="24"/>
          <w14:ligatures w14:val="none"/>
        </w:rPr>
        <w:t>Policy 6: Reduce the impact of fishing on climate change and support the fishing industry to adapt to the impacts of climate change</w:t>
      </w:r>
    </w:p>
    <w:p w14:paraId="71FE9F20" w14:textId="77777777" w:rsidR="005927ED" w:rsidRPr="007B74E4" w:rsidRDefault="005927ED" w:rsidP="005927ED">
      <w:pPr>
        <w:rPr>
          <w:rStyle w:val="fontstyle11"/>
          <w:rFonts w:ascii="Arial" w:hAnsi="Arial" w:cs="Arial"/>
        </w:rPr>
      </w:pPr>
    </w:p>
    <w:p w14:paraId="502B7101"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Once formally published, the policies and actions within the plans will need to be implemented. This will be an iterative process, and the Scottish Government will be working closely with the other fisheries administrations, the fishing sector and wider stakeholders on implementation. </w:t>
      </w:r>
    </w:p>
    <w:p w14:paraId="2D9B203C" w14:textId="77777777" w:rsidR="005927ED" w:rsidRPr="007B74E4" w:rsidRDefault="005927ED" w:rsidP="005927ED">
      <w:pPr>
        <w:rPr>
          <w:rFonts w:ascii="Arial" w:hAnsi="Arial" w:cs="Arial"/>
          <w:sz w:val="24"/>
          <w:szCs w:val="24"/>
        </w:rPr>
      </w:pPr>
    </w:p>
    <w:p w14:paraId="333074B7" w14:textId="77777777" w:rsidR="005927ED" w:rsidRPr="007B74E4" w:rsidRDefault="005927ED" w:rsidP="005927ED">
      <w:pPr>
        <w:rPr>
          <w:rFonts w:ascii="Arial" w:hAnsi="Arial" w:cs="Arial"/>
        </w:rPr>
      </w:pPr>
      <w:r w:rsidRPr="007B74E4">
        <w:rPr>
          <w:rFonts w:ascii="Arial" w:hAnsi="Arial" w:cs="Arial"/>
          <w:sz w:val="24"/>
          <w:szCs w:val="24"/>
        </w:rPr>
        <w:t>Publishing the FMPs is the start of a multi-year cycle, and we will ensure that the plans strike the balance between building momentum for short-term actions and setting direction for the longer term. This can be further iterated as the evidence base is improved. The plans must be reviewed at least every six years. Cross regulator, government and industry groups have been central to the development of the draft FMPs. Stakeholder involvement and ongoing collaboration underpins successful delivery of the FMPs and will continue beyond their publication.</w:t>
      </w:r>
      <w:r w:rsidRPr="007B74E4">
        <w:rPr>
          <w:rFonts w:ascii="Arial" w:hAnsi="Arial" w:cs="Arial"/>
        </w:rPr>
        <w:t>  </w:t>
      </w:r>
    </w:p>
    <w:p w14:paraId="64FA5EEE" w14:textId="77777777" w:rsidR="005927ED" w:rsidRPr="007B74E4" w:rsidRDefault="005927ED" w:rsidP="005927ED">
      <w:pPr>
        <w:pStyle w:val="Head2"/>
      </w:pPr>
    </w:p>
    <w:p w14:paraId="7418B11E" w14:textId="77777777" w:rsidR="005927ED" w:rsidRPr="007B74E4" w:rsidRDefault="005927ED" w:rsidP="005927ED">
      <w:pPr>
        <w:pStyle w:val="Head2"/>
      </w:pPr>
      <w:bookmarkStart w:id="7" w:name="_Toc233124016"/>
      <w:r w:rsidRPr="007B74E4">
        <w:t>Options (considered so far/ still open)</w:t>
      </w:r>
      <w:bookmarkEnd w:id="7"/>
    </w:p>
    <w:p w14:paraId="724FB1E0" w14:textId="77777777" w:rsidR="005927ED" w:rsidRPr="007B74E4" w:rsidRDefault="005927ED" w:rsidP="005927ED">
      <w:pPr>
        <w:rPr>
          <w:rFonts w:ascii="Arial" w:hAnsi="Arial" w:cs="Arial"/>
        </w:rPr>
      </w:pPr>
    </w:p>
    <w:p w14:paraId="7667C074"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1 (preferred option): Publication of pelagic FMPs</w:t>
      </w:r>
    </w:p>
    <w:p w14:paraId="054F1981" w14:textId="77777777" w:rsidR="005927ED" w:rsidRPr="007B74E4" w:rsidRDefault="005927ED" w:rsidP="005927ED">
      <w:pPr>
        <w:rPr>
          <w:rFonts w:ascii="Arial" w:hAnsi="Arial" w:cs="Arial"/>
          <w:sz w:val="24"/>
          <w:szCs w:val="24"/>
        </w:rPr>
      </w:pPr>
    </w:p>
    <w:p w14:paraId="46922AFA" w14:textId="77777777" w:rsidR="005927ED" w:rsidRPr="007B74E4" w:rsidRDefault="005927ED" w:rsidP="005927ED">
      <w:pPr>
        <w:rPr>
          <w:rFonts w:ascii="Arial" w:hAnsi="Arial" w:cs="Arial"/>
          <w:sz w:val="24"/>
          <w:szCs w:val="24"/>
        </w:rPr>
      </w:pPr>
      <w:r w:rsidRPr="007B74E4">
        <w:rPr>
          <w:rFonts w:ascii="Arial" w:hAnsi="Arial" w:cs="Arial"/>
          <w:sz w:val="24"/>
          <w:szCs w:val="24"/>
        </w:rPr>
        <w:t>The pelagic FMPs are published, setting out the policies designed to maintain stocks at sustainable levels by bringing together information on existing measures and available evidence, mapping where there are gaps and opportunities to fill them, setting a clear pathway to developing and introducing improved, evidence-based management in collaboration with industry/ stakeholders.</w:t>
      </w:r>
    </w:p>
    <w:p w14:paraId="70878CBD" w14:textId="77777777" w:rsidR="005927ED" w:rsidRPr="007B74E4" w:rsidRDefault="005927ED" w:rsidP="005927ED">
      <w:pPr>
        <w:rPr>
          <w:rFonts w:ascii="Arial" w:hAnsi="Arial" w:cs="Arial"/>
          <w:b/>
          <w:bCs/>
          <w:sz w:val="24"/>
          <w:szCs w:val="24"/>
        </w:rPr>
      </w:pPr>
    </w:p>
    <w:p w14:paraId="1B2F1949"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Option 2: Business as Usual (Do Nothing) – No pelagic FMPs published </w:t>
      </w:r>
    </w:p>
    <w:p w14:paraId="78E9CB46" w14:textId="77777777" w:rsidR="005927ED" w:rsidRPr="007B74E4" w:rsidRDefault="005927ED" w:rsidP="005927ED">
      <w:pPr>
        <w:rPr>
          <w:rFonts w:ascii="Arial" w:hAnsi="Arial" w:cs="Arial"/>
          <w:b/>
          <w:bCs/>
          <w:sz w:val="24"/>
          <w:szCs w:val="24"/>
        </w:rPr>
      </w:pPr>
    </w:p>
    <w:p w14:paraId="3C2840C1"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If there was an intention to pursue Option 2, of not publishing the FMPs, amendments to the JFS would be required. </w:t>
      </w:r>
    </w:p>
    <w:p w14:paraId="6F48FD8F" w14:textId="77777777" w:rsidR="005927ED" w:rsidRPr="007B74E4" w:rsidRDefault="005927ED" w:rsidP="005927ED">
      <w:pPr>
        <w:rPr>
          <w:rFonts w:ascii="Arial" w:hAnsi="Arial" w:cs="Arial"/>
          <w:b/>
          <w:bCs/>
          <w:sz w:val="24"/>
          <w:szCs w:val="24"/>
        </w:rPr>
      </w:pPr>
    </w:p>
    <w:p w14:paraId="5E3441CC" w14:textId="77777777" w:rsidR="005927ED" w:rsidRPr="007B74E4" w:rsidRDefault="005927ED" w:rsidP="005927ED">
      <w:pPr>
        <w:rPr>
          <w:rFonts w:ascii="Arial" w:hAnsi="Arial" w:cs="Arial"/>
        </w:rPr>
      </w:pPr>
    </w:p>
    <w:p w14:paraId="15CD09DA" w14:textId="77777777" w:rsidR="005927ED" w:rsidRPr="007B74E4" w:rsidRDefault="005927ED" w:rsidP="005927ED">
      <w:pPr>
        <w:pStyle w:val="Head2"/>
      </w:pPr>
      <w:bookmarkStart w:id="8" w:name="_Toc233124017"/>
      <w:r w:rsidRPr="007B74E4">
        <w:t>Sectors/ Groups affected</w:t>
      </w:r>
      <w:bookmarkEnd w:id="8"/>
    </w:p>
    <w:p w14:paraId="75FFA265" w14:textId="77777777" w:rsidR="005927ED" w:rsidRPr="007B74E4" w:rsidRDefault="005927ED" w:rsidP="005927ED">
      <w:pPr>
        <w:rPr>
          <w:rFonts w:ascii="Arial" w:hAnsi="Arial" w:cs="Arial"/>
        </w:rPr>
      </w:pPr>
    </w:p>
    <w:p w14:paraId="6B05F15A"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The following sectors have been identified as groups who will be affected by the proposal: </w:t>
      </w:r>
    </w:p>
    <w:p w14:paraId="5E0902DA" w14:textId="77777777" w:rsidR="005927ED" w:rsidRPr="007B74E4" w:rsidRDefault="005927ED" w:rsidP="005927ED">
      <w:pPr>
        <w:rPr>
          <w:rFonts w:ascii="Arial" w:eastAsiaTheme="minorHAnsi" w:hAnsi="Arial" w:cs="Arial"/>
          <w:kern w:val="24"/>
          <w:sz w:val="24"/>
          <w:szCs w:val="24"/>
          <w:lang w:val="en-US"/>
          <w14:ligatures w14:val="none"/>
        </w:rPr>
      </w:pPr>
    </w:p>
    <w:p w14:paraId="1ABF5A76" w14:textId="77777777" w:rsidR="005927ED" w:rsidRPr="007B74E4" w:rsidRDefault="005927ED" w:rsidP="005927ED">
      <w:pPr>
        <w:numPr>
          <w:ilvl w:val="0"/>
          <w:numId w:val="23"/>
        </w:numPr>
        <w:rPr>
          <w:rFonts w:ascii="Arial" w:eastAsiaTheme="minorHAnsi" w:hAnsi="Arial" w:cs="Arial"/>
          <w:kern w:val="24"/>
          <w:sz w:val="24"/>
          <w:szCs w:val="24"/>
          <w:lang w:val="en-US"/>
          <w14:ligatures w14:val="none"/>
        </w:rPr>
      </w:pPr>
      <w:r w:rsidRPr="007B74E4">
        <w:rPr>
          <w:rFonts w:ascii="Arial" w:eastAsiaTheme="minorHAnsi" w:hAnsi="Arial" w:cs="Arial"/>
          <w:kern w:val="24"/>
          <w:sz w:val="24"/>
          <w:szCs w:val="24"/>
          <w:lang w:val="en-US"/>
          <w14:ligatures w14:val="none"/>
        </w:rPr>
        <w:t>UK pelagic fishing industry</w:t>
      </w:r>
    </w:p>
    <w:p w14:paraId="39FE1E9C" w14:textId="77777777" w:rsidR="005927ED" w:rsidRPr="007B74E4" w:rsidRDefault="005927ED" w:rsidP="005927ED">
      <w:pPr>
        <w:numPr>
          <w:ilvl w:val="0"/>
          <w:numId w:val="23"/>
        </w:numPr>
        <w:rPr>
          <w:rFonts w:ascii="Arial" w:eastAsiaTheme="minorHAnsi" w:hAnsi="Arial" w:cs="Arial"/>
          <w:kern w:val="24"/>
          <w:sz w:val="24"/>
          <w:szCs w:val="24"/>
          <w:lang w:val="en-US"/>
          <w14:ligatures w14:val="none"/>
        </w:rPr>
      </w:pPr>
      <w:r w:rsidRPr="007B74E4">
        <w:rPr>
          <w:rFonts w:ascii="Arial" w:eastAsiaTheme="minorHAnsi" w:hAnsi="Arial" w:cs="Arial"/>
          <w:kern w:val="24"/>
          <w:sz w:val="24"/>
          <w:szCs w:val="24"/>
          <w:lang w:val="en-US"/>
          <w14:ligatures w14:val="none"/>
        </w:rPr>
        <w:t>Wider UK and international pelagic fishing industry operating in UK waters</w:t>
      </w:r>
    </w:p>
    <w:p w14:paraId="64E913EC" w14:textId="77777777" w:rsidR="005927ED" w:rsidRPr="007B74E4" w:rsidRDefault="005927ED" w:rsidP="005927ED">
      <w:pPr>
        <w:numPr>
          <w:ilvl w:val="0"/>
          <w:numId w:val="23"/>
        </w:numPr>
        <w:rPr>
          <w:rFonts w:ascii="Arial" w:eastAsiaTheme="minorHAnsi" w:hAnsi="Arial" w:cs="Arial"/>
          <w:kern w:val="24"/>
          <w:sz w:val="24"/>
          <w:szCs w:val="24"/>
          <w:lang w:val="en-US"/>
          <w14:ligatures w14:val="none"/>
        </w:rPr>
      </w:pPr>
      <w:r w:rsidRPr="007B74E4">
        <w:rPr>
          <w:rFonts w:ascii="Arial" w:eastAsiaTheme="minorHAnsi" w:hAnsi="Arial" w:cs="Arial"/>
          <w:kern w:val="24"/>
          <w:sz w:val="24"/>
          <w:szCs w:val="24"/>
          <w:lang w:val="en-US"/>
          <w14:ligatures w14:val="none"/>
        </w:rPr>
        <w:t>UK retailers</w:t>
      </w:r>
    </w:p>
    <w:p w14:paraId="5CAE28FD" w14:textId="77777777" w:rsidR="005927ED" w:rsidRPr="007B74E4" w:rsidRDefault="005927ED" w:rsidP="005927ED">
      <w:pPr>
        <w:rPr>
          <w:rFonts w:ascii="Arial" w:eastAsiaTheme="minorHAnsi" w:hAnsi="Arial" w:cs="Arial"/>
          <w:kern w:val="24"/>
          <w:sz w:val="24"/>
          <w:szCs w:val="24"/>
          <w14:ligatures w14:val="none"/>
        </w:rPr>
      </w:pPr>
    </w:p>
    <w:p w14:paraId="20674D1A"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Businesses will be invited to respond to the public consultation. This section of the </w:t>
      </w:r>
    </w:p>
    <w:p w14:paraId="36059418" w14:textId="77777777" w:rsidR="005927ED" w:rsidRPr="007B74E4" w:rsidRDefault="005927ED" w:rsidP="005927ED">
      <w:pPr>
        <w:rPr>
          <w:rFonts w:ascii="Arial" w:eastAsiaTheme="minorHAnsi" w:hAnsi="Arial" w:cs="Arial"/>
          <w:kern w:val="24"/>
          <w14:ligatures w14:val="none"/>
        </w:rPr>
        <w:sectPr w:rsidR="005927ED" w:rsidRPr="007B74E4" w:rsidSect="005927ED">
          <w:pgSz w:w="11906" w:h="16838" w:code="9"/>
          <w:pgMar w:top="1440" w:right="1440" w:bottom="1440" w:left="1440" w:header="720" w:footer="720" w:gutter="0"/>
          <w:cols w:space="708"/>
          <w:docGrid w:linePitch="360"/>
        </w:sectPr>
      </w:pPr>
      <w:r w:rsidRPr="007B74E4">
        <w:rPr>
          <w:rFonts w:ascii="Arial" w:eastAsiaTheme="minorHAnsi" w:hAnsi="Arial" w:cs="Arial"/>
          <w:kern w:val="24"/>
          <w:sz w:val="24"/>
          <w:szCs w:val="24"/>
          <w14:ligatures w14:val="none"/>
        </w:rPr>
        <w:t xml:space="preserve">BRIA will be updated following input from relevant </w:t>
      </w:r>
      <w:r w:rsidRPr="007B74E4">
        <w:rPr>
          <w:rFonts w:ascii="Arial" w:eastAsiaTheme="minorEastAsia" w:hAnsi="Arial" w:cs="Arial"/>
          <w:kern w:val="24"/>
          <w:sz w:val="24"/>
          <w:szCs w:val="24"/>
          <w14:ligatures w14:val="none"/>
        </w:rPr>
        <w:t>organisations.</w:t>
      </w:r>
    </w:p>
    <w:p w14:paraId="0F0F38A9" w14:textId="77777777" w:rsidR="005927ED" w:rsidRPr="007B74E4" w:rsidRDefault="005927ED" w:rsidP="005927ED">
      <w:pPr>
        <w:pStyle w:val="Head1"/>
      </w:pPr>
      <w:bookmarkStart w:id="9" w:name="_Toc233124018"/>
      <w:r w:rsidRPr="007B74E4">
        <w:lastRenderedPageBreak/>
        <w:t>Section 2: Engagement and information gathering</w:t>
      </w:r>
      <w:bookmarkEnd w:id="9"/>
    </w:p>
    <w:p w14:paraId="55FD5A00" w14:textId="77777777" w:rsidR="005927ED" w:rsidRPr="007B74E4" w:rsidRDefault="005927ED" w:rsidP="005927ED">
      <w:pPr>
        <w:rPr>
          <w:rFonts w:ascii="Arial" w:hAnsi="Arial" w:cs="Arial"/>
        </w:rPr>
      </w:pPr>
    </w:p>
    <w:p w14:paraId="73728B16" w14:textId="77777777" w:rsidR="005927ED" w:rsidRPr="007B74E4" w:rsidRDefault="005927ED" w:rsidP="005927ED">
      <w:pPr>
        <w:pStyle w:val="Head2"/>
      </w:pPr>
      <w:bookmarkStart w:id="10" w:name="_Toc233124019"/>
      <w:r w:rsidRPr="007B74E4">
        <w:t>Engagement approach</w:t>
      </w:r>
      <w:bookmarkEnd w:id="10"/>
    </w:p>
    <w:p w14:paraId="0C4ECA13" w14:textId="77777777" w:rsidR="005927ED" w:rsidRPr="007B74E4" w:rsidRDefault="005927ED" w:rsidP="005927ED">
      <w:pPr>
        <w:rPr>
          <w:rFonts w:ascii="Arial" w:hAnsi="Arial" w:cs="Arial"/>
        </w:rPr>
      </w:pPr>
    </w:p>
    <w:p w14:paraId="45AAF0C7" w14:textId="032B769C"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The five pelagic FMPs have been informed by a range of stakeholder engagement initiatives. A working group of over 50 industry, environmental and Statutory Nature Conservation Bodies (SNCBs) stakeholders was formed in 2023, and met multiple times to help inform the overall shape and contents of Scottish-led FMPs. On pelagic FMPs specifically discussion took place over a number of months to gather additional views and input. This was part of a process known as ‘pre-consultation’. As part of the process, the Scottish Government shared drafts of some of the pelagic FMPs and gathered comments from stakeholders at workshops held in March 2026. Stakeholder knowledge has been valuable in providing context for the FMP</w:t>
      </w:r>
      <w:r w:rsidR="007B7B48">
        <w:rPr>
          <w:rFonts w:ascii="Arial" w:eastAsiaTheme="minorHAnsi" w:hAnsi="Arial" w:cs="Arial"/>
          <w:kern w:val="24"/>
          <w:sz w:val="24"/>
          <w:szCs w:val="24"/>
          <w14:ligatures w14:val="none"/>
        </w:rPr>
        <w:t>s</w:t>
      </w:r>
      <w:r w:rsidRPr="007B74E4">
        <w:rPr>
          <w:rFonts w:ascii="Arial" w:eastAsiaTheme="minorHAnsi" w:hAnsi="Arial" w:cs="Arial"/>
          <w:kern w:val="24"/>
          <w:sz w:val="24"/>
          <w:szCs w:val="24"/>
          <w14:ligatures w14:val="none"/>
        </w:rPr>
        <w:t xml:space="preserve">, and in developing meaningful actions that will support the sustainable management of these </w:t>
      </w:r>
      <w:r w:rsidR="00165FB4">
        <w:rPr>
          <w:rFonts w:ascii="Arial" w:eastAsiaTheme="minorHAnsi" w:hAnsi="Arial" w:cs="Arial"/>
          <w:kern w:val="24"/>
          <w:sz w:val="24"/>
          <w:szCs w:val="24"/>
          <w14:ligatures w14:val="none"/>
        </w:rPr>
        <w:t xml:space="preserve">stocks </w:t>
      </w:r>
      <w:r w:rsidRPr="007B74E4">
        <w:rPr>
          <w:rFonts w:ascii="Arial" w:eastAsiaTheme="minorHAnsi" w:hAnsi="Arial" w:cs="Arial"/>
          <w:kern w:val="24"/>
          <w:sz w:val="24"/>
          <w:szCs w:val="24"/>
          <w14:ligatures w14:val="none"/>
        </w:rPr>
        <w:t>in the future.</w:t>
      </w:r>
    </w:p>
    <w:p w14:paraId="49E3CCC5"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 </w:t>
      </w:r>
    </w:p>
    <w:p w14:paraId="43339089"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 </w:t>
      </w:r>
    </w:p>
    <w:p w14:paraId="572755E1" w14:textId="77777777" w:rsidR="00956CBD"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Feedback received as part of formal public consultation will help shape the final FMPs.  </w:t>
      </w:r>
    </w:p>
    <w:p w14:paraId="2C3CB1FC" w14:textId="402213CF" w:rsidR="005927ED" w:rsidRPr="007B74E4" w:rsidRDefault="005927ED" w:rsidP="005927ED">
      <w:pPr>
        <w:rPr>
          <w:rFonts w:ascii="Arial" w:hAnsi="Arial" w:cs="Arial"/>
          <w:sz w:val="24"/>
          <w:szCs w:val="24"/>
        </w:rPr>
      </w:pPr>
    </w:p>
    <w:p w14:paraId="2F84DEB3" w14:textId="77777777" w:rsidR="005927ED" w:rsidRPr="007B74E4" w:rsidRDefault="005927ED" w:rsidP="005927ED">
      <w:pPr>
        <w:pStyle w:val="Head2"/>
      </w:pPr>
      <w:bookmarkStart w:id="11" w:name="_Toc233124020"/>
      <w:r w:rsidRPr="007B74E4">
        <w:t>Internal SG engagement/ engagement with wider Public Sector</w:t>
      </w:r>
      <w:bookmarkEnd w:id="11"/>
    </w:p>
    <w:p w14:paraId="17603DD0" w14:textId="77777777" w:rsidR="005927ED" w:rsidRPr="007B74E4" w:rsidRDefault="005927ED" w:rsidP="005927ED">
      <w:pPr>
        <w:rPr>
          <w:rFonts w:ascii="Arial" w:hAnsi="Arial" w:cs="Arial"/>
        </w:rPr>
      </w:pPr>
    </w:p>
    <w:p w14:paraId="623024A9"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Internal SG engagement</w:t>
      </w:r>
    </w:p>
    <w:p w14:paraId="6BFB47E6" w14:textId="77777777" w:rsidR="005927ED" w:rsidRPr="007B74E4" w:rsidRDefault="005927ED" w:rsidP="005927ED">
      <w:pPr>
        <w:rPr>
          <w:rFonts w:ascii="Arial" w:hAnsi="Arial" w:cs="Arial"/>
        </w:rPr>
      </w:pPr>
    </w:p>
    <w:p w14:paraId="220240F6"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Consultation has been undertaken with officials within the Marine Directorate of the Scottish Government, including policy, compliance and science experts and marine analysts/economists.</w:t>
      </w:r>
    </w:p>
    <w:p w14:paraId="4B82E154" w14:textId="77777777" w:rsidR="005927ED" w:rsidRPr="007B74E4" w:rsidRDefault="005927ED" w:rsidP="005927ED">
      <w:pPr>
        <w:rPr>
          <w:rFonts w:ascii="Arial" w:eastAsiaTheme="minorHAnsi" w:hAnsi="Arial" w:cs="Arial"/>
          <w:kern w:val="24"/>
          <w:sz w:val="24"/>
          <w:szCs w:val="24"/>
          <w14:ligatures w14:val="none"/>
        </w:rPr>
      </w:pPr>
    </w:p>
    <w:p w14:paraId="770B23B0" w14:textId="77777777" w:rsidR="005927ED" w:rsidRPr="007B74E4" w:rsidRDefault="005927ED" w:rsidP="005927ED">
      <w:pPr>
        <w:rPr>
          <w:rFonts w:ascii="Arial" w:hAnsi="Arial" w:cs="Arial"/>
        </w:rPr>
      </w:pPr>
    </w:p>
    <w:p w14:paraId="0164FE6B" w14:textId="77777777" w:rsidR="005927ED" w:rsidRPr="007B74E4" w:rsidRDefault="005927ED" w:rsidP="005927ED">
      <w:pPr>
        <w:rPr>
          <w:rFonts w:ascii="Arial" w:hAnsi="Arial" w:cs="Arial"/>
        </w:rPr>
      </w:pPr>
      <w:r w:rsidRPr="007B74E4">
        <w:rPr>
          <w:rFonts w:ascii="Arial" w:hAnsi="Arial" w:cs="Arial"/>
          <w:b/>
          <w:bCs/>
          <w:sz w:val="24"/>
          <w:szCs w:val="24"/>
        </w:rPr>
        <w:t>UK/ Devolved Administrations</w:t>
      </w:r>
    </w:p>
    <w:p w14:paraId="1A80FC81" w14:textId="77777777" w:rsidR="005927ED" w:rsidRPr="007B74E4" w:rsidRDefault="005927ED" w:rsidP="005927ED">
      <w:pPr>
        <w:rPr>
          <w:rFonts w:ascii="Arial" w:eastAsiaTheme="minorHAnsi" w:hAnsi="Arial" w:cs="Arial"/>
          <w:kern w:val="24"/>
          <w:sz w:val="24"/>
          <w:szCs w:val="24"/>
          <w14:ligatures w14:val="none"/>
        </w:rPr>
      </w:pPr>
    </w:p>
    <w:p w14:paraId="6163AC17"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Within the UK we have also engaged with DEFRA, the Marine Management Organisation (MMO), the Welsh Government and Northern Ireland Executive on all FMPs relevant to them. </w:t>
      </w:r>
    </w:p>
    <w:p w14:paraId="47CDE1C8" w14:textId="77777777" w:rsidR="005927ED" w:rsidRPr="007B74E4" w:rsidRDefault="005927ED" w:rsidP="005927ED">
      <w:pPr>
        <w:rPr>
          <w:rFonts w:ascii="Arial" w:hAnsi="Arial" w:cs="Arial"/>
          <w:sz w:val="24"/>
          <w:szCs w:val="24"/>
        </w:rPr>
      </w:pPr>
    </w:p>
    <w:p w14:paraId="405B9BB5" w14:textId="77777777" w:rsidR="005927ED" w:rsidRPr="007B74E4" w:rsidRDefault="005927ED" w:rsidP="005927ED">
      <w:pPr>
        <w:rPr>
          <w:rFonts w:ascii="Arial" w:hAnsi="Arial" w:cs="Arial"/>
        </w:rPr>
      </w:pPr>
    </w:p>
    <w:p w14:paraId="157157BB"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International</w:t>
      </w:r>
    </w:p>
    <w:p w14:paraId="383F66C4" w14:textId="77777777" w:rsidR="005927ED" w:rsidRPr="007B74E4" w:rsidRDefault="005927ED" w:rsidP="005927ED">
      <w:pPr>
        <w:rPr>
          <w:rFonts w:ascii="Arial" w:hAnsi="Arial" w:cs="Arial"/>
        </w:rPr>
      </w:pPr>
    </w:p>
    <w:p w14:paraId="73565221" w14:textId="77777777"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In an international context we have engaged with the EU on the general approach for developing the 21 FMPs.</w:t>
      </w:r>
    </w:p>
    <w:p w14:paraId="5199AF87" w14:textId="77777777" w:rsidR="005927ED" w:rsidRPr="007B74E4" w:rsidRDefault="005927ED" w:rsidP="005927ED">
      <w:pPr>
        <w:rPr>
          <w:rFonts w:ascii="Arial" w:eastAsiaTheme="minorHAnsi" w:hAnsi="Arial" w:cs="Arial"/>
          <w:kern w:val="24"/>
          <w14:ligatures w14:val="none"/>
        </w:rPr>
      </w:pPr>
    </w:p>
    <w:p w14:paraId="0FEFAB7B" w14:textId="77777777" w:rsidR="005927ED" w:rsidRPr="007B74E4" w:rsidRDefault="005927ED" w:rsidP="005927ED">
      <w:pPr>
        <w:pStyle w:val="Head2"/>
      </w:pPr>
      <w:bookmarkStart w:id="12" w:name="_Toc233124021"/>
      <w:r w:rsidRPr="007B74E4">
        <w:t>Business / Third Sector engagement</w:t>
      </w:r>
      <w:bookmarkEnd w:id="12"/>
    </w:p>
    <w:p w14:paraId="78925490" w14:textId="77777777" w:rsidR="005927ED" w:rsidRPr="007B74E4" w:rsidRDefault="005927ED" w:rsidP="005927ED">
      <w:pPr>
        <w:rPr>
          <w:rFonts w:ascii="Arial" w:hAnsi="Arial" w:cs="Arial"/>
        </w:rPr>
      </w:pPr>
    </w:p>
    <w:p w14:paraId="20C31213" w14:textId="1A11909A" w:rsidR="005927ED" w:rsidRPr="007B74E4" w:rsidRDefault="005927ED" w:rsidP="005927ED">
      <w:pPr>
        <w:rPr>
          <w:rFonts w:ascii="Arial" w:eastAsiaTheme="minorHAnsi" w:hAnsi="Arial" w:cs="Arial"/>
          <w:kern w:val="24"/>
          <w:sz w:val="24"/>
          <w:szCs w:val="24"/>
          <w14:ligatures w14:val="none"/>
        </w:rPr>
      </w:pPr>
      <w:r w:rsidRPr="007B74E4">
        <w:rPr>
          <w:rFonts w:ascii="Arial" w:eastAsiaTheme="minorHAnsi" w:hAnsi="Arial" w:cs="Arial"/>
          <w:kern w:val="24"/>
          <w:sz w:val="24"/>
          <w:szCs w:val="24"/>
          <w14:ligatures w14:val="none"/>
        </w:rPr>
        <w:t xml:space="preserve">The Scottish Government, on behalf of the fisheries policy authorities, delivered two pre-consultation events on 25 March 2026 with industry, eNGO and </w:t>
      </w:r>
      <w:r w:rsidR="002F1C2D" w:rsidRPr="007B74E4">
        <w:rPr>
          <w:rFonts w:ascii="Arial" w:eastAsiaTheme="minorHAnsi" w:hAnsi="Arial" w:cs="Arial"/>
          <w:kern w:val="24"/>
          <w:sz w:val="24"/>
          <w:szCs w:val="24"/>
          <w14:ligatures w14:val="none"/>
        </w:rPr>
        <w:t>community</w:t>
      </w:r>
      <w:r w:rsidRPr="007B74E4">
        <w:rPr>
          <w:rFonts w:ascii="Arial" w:eastAsiaTheme="minorHAnsi" w:hAnsi="Arial" w:cs="Arial"/>
          <w:kern w:val="24"/>
          <w:sz w:val="24"/>
          <w:szCs w:val="24"/>
          <w14:ligatures w14:val="none"/>
        </w:rPr>
        <w:t xml:space="preserve"> groups. Feedback from these events was used to refine draft content and to develop </w:t>
      </w:r>
      <w:r w:rsidRPr="007B74E4">
        <w:rPr>
          <w:rFonts w:ascii="Arial" w:eastAsiaTheme="minorHAnsi" w:hAnsi="Arial" w:cs="Arial"/>
          <w:kern w:val="24"/>
          <w:sz w:val="24"/>
          <w:szCs w:val="24"/>
          <w14:ligatures w14:val="none"/>
        </w:rPr>
        <w:lastRenderedPageBreak/>
        <w:t>the policies presented in these plans. Initial pre-consultation work was undertaken by the Scottish Government via a working group formed of industry, environmental stakeholders and SNCBs which helped inform and shape the content of the FMPs. In addition, separate bilateral meetings took place over a number of months to gather additional views and input.</w:t>
      </w:r>
    </w:p>
    <w:p w14:paraId="76991CD2" w14:textId="77777777" w:rsidR="005927ED" w:rsidRPr="007B74E4" w:rsidRDefault="005927ED" w:rsidP="005927ED">
      <w:pPr>
        <w:pStyle w:val="Head2"/>
        <w:rPr>
          <w:sz w:val="22"/>
          <w:szCs w:val="22"/>
        </w:rPr>
      </w:pPr>
    </w:p>
    <w:p w14:paraId="6AF38DC9" w14:textId="77777777" w:rsidR="005927ED" w:rsidRPr="007B74E4" w:rsidRDefault="005927ED" w:rsidP="005927ED">
      <w:pPr>
        <w:pStyle w:val="Head2"/>
      </w:pPr>
      <w:bookmarkStart w:id="13" w:name="_Toc233124022"/>
      <w:r w:rsidRPr="007B74E4">
        <w:t>Public consultation</w:t>
      </w:r>
      <w:bookmarkEnd w:id="13"/>
    </w:p>
    <w:p w14:paraId="1C934EA2" w14:textId="77777777" w:rsidR="005927ED" w:rsidRPr="007B74E4" w:rsidRDefault="005927ED" w:rsidP="005927ED">
      <w:pPr>
        <w:rPr>
          <w:rFonts w:ascii="Arial" w:hAnsi="Arial" w:cs="Arial"/>
        </w:rPr>
      </w:pPr>
    </w:p>
    <w:p w14:paraId="5A3C6502" w14:textId="77777777" w:rsidR="005927ED" w:rsidRPr="007B74E4" w:rsidRDefault="005927ED" w:rsidP="005927ED">
      <w:pPr>
        <w:rPr>
          <w:rFonts w:ascii="Arial" w:hAnsi="Arial" w:cs="Arial"/>
          <w:sz w:val="24"/>
          <w:szCs w:val="24"/>
        </w:rPr>
      </w:pPr>
      <w:r w:rsidRPr="007B74E4">
        <w:rPr>
          <w:rFonts w:ascii="Arial" w:hAnsi="Arial" w:cs="Arial"/>
          <w:sz w:val="24"/>
          <w:szCs w:val="24"/>
        </w:rPr>
        <w:t>This partial BRIA has been produced to support public consultation on the pelagic FMPs. The purpose of the consultation is to seek views from those with an interest in the plans. The consultation also seeks feedback on the evidence presented in the plans and provides an opportunity for respondents to provide additional evidence that may support the FMP policies.</w:t>
      </w:r>
    </w:p>
    <w:p w14:paraId="59FBD47E" w14:textId="77777777" w:rsidR="005927ED" w:rsidRPr="007B74E4" w:rsidRDefault="005927ED" w:rsidP="005927ED">
      <w:pPr>
        <w:rPr>
          <w:rFonts w:ascii="Arial" w:hAnsi="Arial" w:cs="Arial"/>
        </w:rPr>
      </w:pPr>
    </w:p>
    <w:p w14:paraId="2D13CCA7" w14:textId="77777777" w:rsidR="005927ED" w:rsidRPr="007B74E4" w:rsidRDefault="005927ED" w:rsidP="005927ED">
      <w:pPr>
        <w:rPr>
          <w:rFonts w:ascii="Arial" w:hAnsi="Arial" w:cs="Arial"/>
        </w:rPr>
      </w:pPr>
    </w:p>
    <w:p w14:paraId="6B9EE534" w14:textId="77777777" w:rsidR="005927ED" w:rsidRPr="007B74E4" w:rsidRDefault="005927ED" w:rsidP="005927ED">
      <w:pPr>
        <w:rPr>
          <w:rFonts w:ascii="Arial" w:hAnsi="Arial" w:cs="Arial"/>
        </w:rPr>
        <w:sectPr w:rsidR="005927ED" w:rsidRPr="007B74E4" w:rsidSect="005927ED">
          <w:pgSz w:w="11906" w:h="16838" w:code="9"/>
          <w:pgMar w:top="1440" w:right="1440" w:bottom="1440" w:left="1440" w:header="720" w:footer="720" w:gutter="0"/>
          <w:cols w:space="708"/>
          <w:docGrid w:linePitch="360"/>
        </w:sectPr>
      </w:pPr>
    </w:p>
    <w:p w14:paraId="49CBE11E" w14:textId="77777777" w:rsidR="005927ED" w:rsidRPr="007B74E4" w:rsidRDefault="005927ED" w:rsidP="005927ED">
      <w:pPr>
        <w:pStyle w:val="Head1"/>
      </w:pPr>
      <w:bookmarkStart w:id="14" w:name="_Toc233124023"/>
      <w:r w:rsidRPr="007B74E4">
        <w:lastRenderedPageBreak/>
        <w:t>Section 3: Costs, impacts and benefits</w:t>
      </w:r>
      <w:bookmarkEnd w:id="14"/>
    </w:p>
    <w:p w14:paraId="2D882506" w14:textId="77777777" w:rsidR="005927ED" w:rsidRPr="007B74E4" w:rsidRDefault="005927ED" w:rsidP="005927ED">
      <w:pPr>
        <w:rPr>
          <w:rFonts w:ascii="Arial" w:hAnsi="Arial" w:cs="Arial"/>
        </w:rPr>
      </w:pPr>
    </w:p>
    <w:p w14:paraId="5B012AF3" w14:textId="77777777" w:rsidR="005927ED" w:rsidRPr="007B74E4" w:rsidRDefault="005927ED" w:rsidP="005927ED">
      <w:pPr>
        <w:pStyle w:val="Head2"/>
      </w:pPr>
      <w:bookmarkStart w:id="15" w:name="_Toc233124024"/>
      <w:r w:rsidRPr="007B74E4">
        <w:t>Quantified costs to businesses</w:t>
      </w:r>
      <w:bookmarkEnd w:id="15"/>
    </w:p>
    <w:p w14:paraId="56D988F6" w14:textId="77777777" w:rsidR="005927ED" w:rsidRPr="007B74E4" w:rsidRDefault="005927ED" w:rsidP="005927ED">
      <w:pPr>
        <w:rPr>
          <w:rFonts w:ascii="Arial" w:hAnsi="Arial" w:cs="Arial"/>
        </w:rPr>
      </w:pPr>
    </w:p>
    <w:p w14:paraId="726839A7" w14:textId="77777777" w:rsidR="005927ED" w:rsidRPr="007B74E4" w:rsidRDefault="005927ED" w:rsidP="005927ED">
      <w:pPr>
        <w:rPr>
          <w:rFonts w:ascii="Arial" w:hAnsi="Arial" w:cs="Arial"/>
          <w:sz w:val="24"/>
          <w:szCs w:val="24"/>
        </w:rPr>
      </w:pPr>
      <w:r w:rsidRPr="007B74E4">
        <w:rPr>
          <w:rFonts w:ascii="Arial" w:hAnsi="Arial" w:cs="Arial"/>
          <w:sz w:val="24"/>
          <w:szCs w:val="24"/>
        </w:rPr>
        <w:t>Whilst the pelagic FMPs include a variety of policies and actions, these will not be implemented immediately following publication of the FMP. Instead, specific measures must be developed through the appropriate processes before being implemented; such development may require further consultation, evidence and/or input from stakeholders and policymakers. The pelagic FMPs do not result in direct measurable impacts at this stage because the FMPs do not introduce new measures upon publication. Therefore, this document is a narrative assessment and does not include monetised or quantified costs to businesses. As specific actions are implemented, further impact assessments (by all relevant authorities) will be completed that includes a more complete assessment of the monetised costs to business associated with that action.</w:t>
      </w:r>
    </w:p>
    <w:p w14:paraId="2378B847" w14:textId="77777777" w:rsidR="005927ED" w:rsidRPr="007B74E4" w:rsidRDefault="005927ED" w:rsidP="005927ED">
      <w:pPr>
        <w:rPr>
          <w:rFonts w:ascii="Arial" w:hAnsi="Arial" w:cs="Arial"/>
        </w:rPr>
      </w:pPr>
    </w:p>
    <w:p w14:paraId="694231F7"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1: Publication of pelagic FMPs</w:t>
      </w:r>
    </w:p>
    <w:p w14:paraId="2B83B716" w14:textId="77777777" w:rsidR="005927ED" w:rsidRPr="007B74E4" w:rsidRDefault="005927ED" w:rsidP="005927ED">
      <w:pPr>
        <w:rPr>
          <w:rFonts w:ascii="Arial" w:hAnsi="Arial" w:cs="Arial"/>
        </w:rPr>
      </w:pPr>
    </w:p>
    <w:p w14:paraId="77137F1C" w14:textId="77777777" w:rsidR="005927ED" w:rsidRPr="007B74E4" w:rsidRDefault="005927ED" w:rsidP="005927ED">
      <w:pPr>
        <w:rPr>
          <w:rFonts w:ascii="Arial" w:hAnsi="Arial" w:cs="Arial"/>
          <w:sz w:val="24"/>
          <w:szCs w:val="24"/>
        </w:rPr>
      </w:pPr>
      <w:r w:rsidRPr="007B74E4">
        <w:rPr>
          <w:rFonts w:ascii="Arial" w:hAnsi="Arial" w:cs="Arial"/>
          <w:sz w:val="24"/>
          <w:szCs w:val="24"/>
        </w:rPr>
        <w:t>The costs associated with adhering to new measures arising from actions outlined in the FMPs depend on the specific measures proposed. As these are currently unknown, they cannot be identified, or quantified. In general, the FMPs aim is to facilitate managing stocks sustainably through improved, evidence-based management via collaboration between Scottish Government, other UK Governments, industry, and stakeholders. Any measure that requires a change to fishing activity will likely incur costs associated with adapting to these changes. These costs could materialise through change in landings profile or the cost of complying with new gear and equipment regulations, as well as the subsequent overhead costs such activities might incur. There may also be administration costs associated with adapting to the changes, whether this be increased time spent ensuring compliance with regulations or time spent adhering to reporting requirements. Due to the current uncertainty of specific measures to be introduced, these costs are listed as example costs only. They are not exhaustive of the potential costs that may be incurred, nor are they indicative of the specific measures that may be introduced.</w:t>
      </w:r>
    </w:p>
    <w:p w14:paraId="4200573F" w14:textId="77777777" w:rsidR="005927ED" w:rsidRPr="007B74E4" w:rsidRDefault="005927ED" w:rsidP="005927ED">
      <w:pPr>
        <w:rPr>
          <w:rFonts w:ascii="Arial" w:hAnsi="Arial" w:cs="Arial"/>
          <w:sz w:val="24"/>
          <w:szCs w:val="24"/>
        </w:rPr>
      </w:pPr>
    </w:p>
    <w:p w14:paraId="221FF251" w14:textId="77777777" w:rsidR="005927ED" w:rsidRPr="007B74E4" w:rsidRDefault="005927ED" w:rsidP="005927ED">
      <w:pPr>
        <w:rPr>
          <w:rFonts w:ascii="Arial" w:hAnsi="Arial" w:cs="Arial"/>
          <w:sz w:val="24"/>
          <w:szCs w:val="24"/>
        </w:rPr>
      </w:pPr>
      <w:r w:rsidRPr="007B74E4">
        <w:rPr>
          <w:rFonts w:ascii="Arial" w:hAnsi="Arial" w:cs="Arial"/>
          <w:sz w:val="24"/>
          <w:szCs w:val="20"/>
        </w:rPr>
        <w:t xml:space="preserve">There may also be some environmental costs incurred through pursuing Option 1. This could be in the form of additional environmental pressures as a result of business adapting to new measures, for example if fishing effort is displaced towards other, further afield, fishing grounds meaning increased fuel use and higher GHG emissions. Again, as the specific measures to be implemented are unknown, the exact impact on the environment cannot be identified. </w:t>
      </w:r>
    </w:p>
    <w:p w14:paraId="3E9FCC84" w14:textId="77777777" w:rsidR="005927ED" w:rsidRPr="007B74E4" w:rsidRDefault="005927ED" w:rsidP="005927ED">
      <w:pPr>
        <w:rPr>
          <w:rFonts w:ascii="Arial" w:hAnsi="Arial" w:cs="Arial"/>
        </w:rPr>
      </w:pPr>
    </w:p>
    <w:p w14:paraId="1375BB8C"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2: Business as Usual – No FMP published</w:t>
      </w:r>
    </w:p>
    <w:p w14:paraId="26A8AA4D" w14:textId="77777777" w:rsidR="005927ED" w:rsidRPr="007B74E4" w:rsidRDefault="005927ED" w:rsidP="005927ED">
      <w:pPr>
        <w:rPr>
          <w:rFonts w:ascii="Arial" w:hAnsi="Arial" w:cs="Arial"/>
        </w:rPr>
      </w:pPr>
    </w:p>
    <w:p w14:paraId="2F9A078B"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As a continuation of business as usual (BAU), implementing Option 2 is unlikely to result in any additional costs to businesses beyond those already incurred by the pelagic fishing sector, and associated business. Fishing opportunities would likely remain the same as previous years, subject to variances in TAC and quota negotiations which are beyond the remit of the FMPs. Option 2 may potentially increase the likelihood of stocks being overexploited without additional efforts made </w:t>
      </w:r>
      <w:r w:rsidRPr="007B74E4">
        <w:rPr>
          <w:rFonts w:ascii="Arial" w:hAnsi="Arial" w:cs="Arial"/>
          <w:sz w:val="24"/>
          <w:szCs w:val="24"/>
        </w:rPr>
        <w:lastRenderedPageBreak/>
        <w:t>to strengthen the evidence-base, or manage stocks sustainably. This could in turn have a longer term negative impact on the future fishing opportunities for the species affected. Not publishing these FMPs, would not strengthen existing frameworks aimed at sustainable fisheries over and above existing measures. It is also likely to impact on consumer confidence in the long-run, potentially making UK fisheries less attractive to UK retailers and consumers who may question the overall sustainability of UK seafood. However, FMPs are not the only factor assuring the sustainability of UK fisheries and are therefore likely to have limited impact on retailer/consumer decisions.</w:t>
      </w:r>
    </w:p>
    <w:p w14:paraId="4320227B" w14:textId="77777777" w:rsidR="005927ED" w:rsidRPr="007B74E4" w:rsidRDefault="005927ED" w:rsidP="005927ED">
      <w:pPr>
        <w:rPr>
          <w:rFonts w:ascii="Arial" w:hAnsi="Arial" w:cs="Arial"/>
          <w:sz w:val="24"/>
          <w:szCs w:val="24"/>
        </w:rPr>
      </w:pPr>
    </w:p>
    <w:p w14:paraId="42D7B15C"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If there was an intention to pursue Option 2, of not publishing the FMPs, amendments to the JFS would be required. </w:t>
      </w:r>
    </w:p>
    <w:p w14:paraId="67BBE6BE" w14:textId="77777777" w:rsidR="005927ED" w:rsidRPr="007B74E4" w:rsidRDefault="005927ED" w:rsidP="005927ED">
      <w:pPr>
        <w:rPr>
          <w:rFonts w:ascii="Arial" w:hAnsi="Arial" w:cs="Arial"/>
        </w:rPr>
      </w:pPr>
    </w:p>
    <w:p w14:paraId="2E8FFC70" w14:textId="77777777" w:rsidR="005927ED" w:rsidRPr="007B74E4" w:rsidRDefault="005927ED" w:rsidP="005927ED">
      <w:pPr>
        <w:rPr>
          <w:rFonts w:ascii="Arial" w:hAnsi="Arial" w:cs="Arial"/>
        </w:rPr>
      </w:pPr>
    </w:p>
    <w:p w14:paraId="64D4205D" w14:textId="77777777" w:rsidR="005927ED" w:rsidRPr="007B74E4" w:rsidRDefault="005927ED" w:rsidP="005927ED">
      <w:pPr>
        <w:pStyle w:val="Head2"/>
      </w:pPr>
      <w:bookmarkStart w:id="16" w:name="_Toc233124025"/>
      <w:r w:rsidRPr="007B74E4">
        <w:t>Benefits to business</w:t>
      </w:r>
      <w:bookmarkEnd w:id="16"/>
    </w:p>
    <w:p w14:paraId="38EA7B28" w14:textId="77777777" w:rsidR="005927ED" w:rsidRPr="007B74E4" w:rsidRDefault="005927ED" w:rsidP="005927ED">
      <w:pPr>
        <w:rPr>
          <w:rFonts w:ascii="Arial" w:hAnsi="Arial" w:cs="Arial"/>
        </w:rPr>
      </w:pPr>
    </w:p>
    <w:p w14:paraId="1683928A"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1: Publication of pelagic FMPs</w:t>
      </w:r>
    </w:p>
    <w:p w14:paraId="509965EA" w14:textId="77777777" w:rsidR="005927ED" w:rsidRPr="007B74E4" w:rsidRDefault="005927ED" w:rsidP="005927ED">
      <w:pPr>
        <w:rPr>
          <w:rFonts w:ascii="Arial" w:hAnsi="Arial" w:cs="Arial"/>
        </w:rPr>
      </w:pPr>
    </w:p>
    <w:p w14:paraId="27E79B2D" w14:textId="77777777" w:rsidR="005927ED" w:rsidRPr="007B74E4" w:rsidRDefault="005927ED" w:rsidP="005927ED">
      <w:pPr>
        <w:rPr>
          <w:rFonts w:ascii="Arial" w:hAnsi="Arial" w:cs="Arial"/>
          <w:sz w:val="24"/>
          <w:szCs w:val="20"/>
        </w:rPr>
      </w:pPr>
      <w:r w:rsidRPr="007B74E4">
        <w:rPr>
          <w:rFonts w:ascii="Arial" w:hAnsi="Arial" w:cs="Arial"/>
          <w:sz w:val="24"/>
          <w:szCs w:val="20"/>
        </w:rPr>
        <w:t xml:space="preserve">As noted above, the benefits associated with measures arising from actions in published FMPs depend on the specific measures which are subsequently proposed. As these are currently unknown, the benefits cannot be identified or quantified at this time. </w:t>
      </w:r>
    </w:p>
    <w:p w14:paraId="7B38C6AA" w14:textId="77777777" w:rsidR="005927ED" w:rsidRPr="007B74E4" w:rsidRDefault="005927ED" w:rsidP="005927ED">
      <w:pPr>
        <w:rPr>
          <w:rFonts w:ascii="Arial" w:hAnsi="Arial" w:cs="Arial"/>
          <w:sz w:val="24"/>
          <w:szCs w:val="20"/>
        </w:rPr>
      </w:pPr>
    </w:p>
    <w:p w14:paraId="4C2A663D" w14:textId="77777777" w:rsidR="005927ED" w:rsidRPr="007B74E4" w:rsidRDefault="005927ED" w:rsidP="005927ED">
      <w:pPr>
        <w:rPr>
          <w:rFonts w:ascii="Arial" w:hAnsi="Arial" w:cs="Arial"/>
          <w:sz w:val="24"/>
          <w:szCs w:val="20"/>
        </w:rPr>
      </w:pPr>
      <w:r w:rsidRPr="007B74E4">
        <w:rPr>
          <w:rFonts w:ascii="Arial" w:hAnsi="Arial" w:cs="Arial"/>
          <w:sz w:val="24"/>
          <w:szCs w:val="20"/>
        </w:rPr>
        <w:t>In general, the FMPs aim to manage stocks sustainably by bringing together information on existing measures and available evidence, mapping where there are gaps and opportunities to fill them. This sets out a clear framework to developing and introducing improved, evidence-based management in collaboration with industry and stakeholders. As such, the benefits to business associated with measures developed from FMP actions are likely to materialise in the form of sustainable stocks that will provide fishers with sustainable economic opportunities into the future. There may also be environmental benefits associated with this option, realised through improving the underpinning evidence base, facilitating management decision making that considers a wider and improved range of fisheries and environmental data. Whilst perhaps less immediately tangible to businesses in the short term, these benefits are likely to have a longer-term economic and environmental impact to businesses through sustainably safeguarding future fishing opportunities.</w:t>
      </w:r>
    </w:p>
    <w:p w14:paraId="11A0FD04" w14:textId="77777777" w:rsidR="005927ED" w:rsidRPr="007B74E4" w:rsidRDefault="005927ED" w:rsidP="005927ED">
      <w:pPr>
        <w:rPr>
          <w:rFonts w:ascii="Arial" w:hAnsi="Arial" w:cs="Arial"/>
        </w:rPr>
      </w:pPr>
    </w:p>
    <w:p w14:paraId="68174789"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Option 2: Business as Usual – No FMPs published</w:t>
      </w:r>
    </w:p>
    <w:p w14:paraId="60203EBD" w14:textId="77777777" w:rsidR="005927ED" w:rsidRPr="007B74E4" w:rsidRDefault="005927ED" w:rsidP="005927ED">
      <w:pPr>
        <w:rPr>
          <w:rFonts w:ascii="Arial" w:hAnsi="Arial" w:cs="Arial"/>
        </w:rPr>
      </w:pPr>
    </w:p>
    <w:p w14:paraId="5013CF0C" w14:textId="77777777" w:rsidR="005927ED" w:rsidRPr="007B74E4" w:rsidRDefault="005927ED" w:rsidP="005927ED">
      <w:pPr>
        <w:rPr>
          <w:rFonts w:ascii="Arial" w:hAnsi="Arial" w:cs="Arial"/>
          <w:sz w:val="24"/>
          <w:szCs w:val="20"/>
        </w:rPr>
      </w:pPr>
      <w:r w:rsidRPr="007B74E4">
        <w:rPr>
          <w:rFonts w:ascii="Arial" w:hAnsi="Arial" w:cs="Arial"/>
          <w:sz w:val="24"/>
          <w:szCs w:val="20"/>
        </w:rPr>
        <w:t xml:space="preserve">Fishing activities and opportunities for the </w:t>
      </w:r>
      <w:r w:rsidRPr="007B74E4">
        <w:rPr>
          <w:rFonts w:ascii="Arial" w:hAnsi="Arial" w:cs="Arial"/>
          <w:sz w:val="24"/>
          <w:szCs w:val="24"/>
        </w:rPr>
        <w:t>pelagic</w:t>
      </w:r>
      <w:r w:rsidRPr="007B74E4">
        <w:rPr>
          <w:rFonts w:ascii="Arial" w:hAnsi="Arial" w:cs="Arial"/>
          <w:sz w:val="24"/>
          <w:szCs w:val="20"/>
        </w:rPr>
        <w:t xml:space="preserve"> species covered by FMPs are likely to remain similar to previous years, subject to changes in quota and TAC which are outside the remit of the FMPs. In 2024, the value of pelagic stocks landed by the UK fishing fleet was £521 million.</w:t>
      </w:r>
      <w:r w:rsidRPr="007B74E4">
        <w:rPr>
          <w:rStyle w:val="FootnoteReference"/>
          <w:rFonts w:ascii="Arial" w:hAnsi="Arial" w:cs="Arial"/>
          <w:sz w:val="24"/>
          <w:szCs w:val="20"/>
        </w:rPr>
        <w:footnoteReference w:id="9"/>
      </w:r>
      <w:r w:rsidRPr="007B74E4">
        <w:rPr>
          <w:rFonts w:ascii="Arial" w:hAnsi="Arial" w:cs="Arial"/>
          <w:sz w:val="24"/>
          <w:szCs w:val="20"/>
        </w:rPr>
        <w:t xml:space="preserve"> A breakdown by individual FMP is outlined in Table 1 above. £427 million (82%) of this was landed by Scottish vessels, with English vessels landing a further £53 million (10%), and Northern Irish vessels </w:t>
      </w:r>
      <w:r w:rsidRPr="007B74E4">
        <w:rPr>
          <w:rFonts w:ascii="Arial" w:hAnsi="Arial" w:cs="Arial"/>
          <w:sz w:val="24"/>
          <w:szCs w:val="20"/>
        </w:rPr>
        <w:lastRenderedPageBreak/>
        <w:t xml:space="preserve">landed £41 million (8%). A negligible amount (less than 1%) was caught by other UK administrations. </w:t>
      </w:r>
    </w:p>
    <w:p w14:paraId="22FAD8E7" w14:textId="77777777" w:rsidR="005927ED" w:rsidRPr="007B74E4" w:rsidRDefault="005927ED" w:rsidP="005927ED">
      <w:pPr>
        <w:rPr>
          <w:rFonts w:ascii="Arial" w:hAnsi="Arial" w:cs="Arial"/>
          <w:szCs w:val="18"/>
        </w:rPr>
      </w:pPr>
    </w:p>
    <w:p w14:paraId="0C5FCBB8" w14:textId="77777777" w:rsidR="005927ED" w:rsidRPr="007B74E4" w:rsidRDefault="005927ED" w:rsidP="005927ED">
      <w:pPr>
        <w:rPr>
          <w:rFonts w:ascii="Arial" w:hAnsi="Arial" w:cs="Arial"/>
        </w:rPr>
      </w:pPr>
    </w:p>
    <w:p w14:paraId="5217155A" w14:textId="77777777" w:rsidR="005927ED" w:rsidRPr="007B74E4" w:rsidRDefault="005927ED" w:rsidP="005927ED">
      <w:pPr>
        <w:pStyle w:val="Head2"/>
      </w:pPr>
      <w:bookmarkStart w:id="17" w:name="_Toc233124026"/>
      <w:r w:rsidRPr="007B74E4">
        <w:t>Other impacts</w:t>
      </w:r>
      <w:bookmarkEnd w:id="17"/>
    </w:p>
    <w:p w14:paraId="5A9B10C9" w14:textId="77777777" w:rsidR="005927ED" w:rsidRPr="007B74E4" w:rsidRDefault="005927ED" w:rsidP="005927ED">
      <w:pPr>
        <w:rPr>
          <w:rFonts w:ascii="Arial" w:hAnsi="Arial" w:cs="Arial"/>
        </w:rPr>
      </w:pPr>
    </w:p>
    <w:p w14:paraId="09DFC8DD"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Compliance and Resourcing Impacts</w:t>
      </w:r>
    </w:p>
    <w:p w14:paraId="69297197" w14:textId="77777777" w:rsidR="005927ED" w:rsidRPr="007B74E4" w:rsidRDefault="005927ED" w:rsidP="005927ED">
      <w:pPr>
        <w:rPr>
          <w:rFonts w:ascii="Arial" w:hAnsi="Arial" w:cs="Arial"/>
        </w:rPr>
      </w:pPr>
    </w:p>
    <w:p w14:paraId="75F7AD9B" w14:textId="77777777" w:rsidR="005927ED" w:rsidRPr="007B74E4" w:rsidRDefault="005927ED" w:rsidP="005927ED">
      <w:pPr>
        <w:rPr>
          <w:rFonts w:ascii="Arial" w:hAnsi="Arial" w:cs="Arial"/>
          <w:sz w:val="24"/>
          <w:szCs w:val="20"/>
        </w:rPr>
      </w:pPr>
      <w:r w:rsidRPr="007B74E4">
        <w:rPr>
          <w:rFonts w:ascii="Arial" w:hAnsi="Arial" w:cs="Arial"/>
          <w:sz w:val="24"/>
          <w:szCs w:val="20"/>
        </w:rPr>
        <w:t xml:space="preserve">There are likely to be differing levels of compliance and resourcing costs incurred by Scottish Government (and the other relevant authorities) associated with each option. </w:t>
      </w:r>
    </w:p>
    <w:p w14:paraId="39CC07E6" w14:textId="77777777" w:rsidR="005927ED" w:rsidRPr="007B74E4" w:rsidRDefault="005927ED" w:rsidP="005927ED">
      <w:pPr>
        <w:rPr>
          <w:rFonts w:ascii="Arial" w:hAnsi="Arial" w:cs="Arial"/>
          <w:sz w:val="24"/>
          <w:szCs w:val="20"/>
        </w:rPr>
      </w:pPr>
    </w:p>
    <w:p w14:paraId="6357CE4E" w14:textId="77777777" w:rsidR="005927ED" w:rsidRPr="007B74E4" w:rsidRDefault="005927ED" w:rsidP="005927ED">
      <w:pPr>
        <w:rPr>
          <w:rFonts w:ascii="Arial" w:hAnsi="Arial" w:cs="Arial"/>
          <w:sz w:val="24"/>
          <w:szCs w:val="20"/>
        </w:rPr>
      </w:pPr>
      <w:r w:rsidRPr="007B74E4">
        <w:rPr>
          <w:rFonts w:ascii="Arial" w:hAnsi="Arial" w:cs="Arial"/>
          <w:sz w:val="24"/>
          <w:szCs w:val="20"/>
        </w:rPr>
        <w:t>Option 1 would likely involve compliance and resourcing costs for fisheries policy authorities additional to those currently incurred. These costs would be incurred through the subsequent process of implementing new measures which come out of actions identified in the FMP and ensuring compliance with such measures. The magnitude of these costs depends on the specific measures introduced, with more complex measures requiring greater and more specific compliance incurring a greater cost.</w:t>
      </w:r>
    </w:p>
    <w:p w14:paraId="3A9278AD" w14:textId="77777777" w:rsidR="005927ED" w:rsidRPr="007B74E4" w:rsidRDefault="005927ED" w:rsidP="005927ED">
      <w:pPr>
        <w:rPr>
          <w:rFonts w:ascii="Arial" w:hAnsi="Arial" w:cs="Arial"/>
          <w:sz w:val="24"/>
          <w:szCs w:val="20"/>
        </w:rPr>
      </w:pPr>
    </w:p>
    <w:p w14:paraId="202C65BB" w14:textId="77777777" w:rsidR="005927ED" w:rsidRPr="007B74E4" w:rsidRDefault="005927ED" w:rsidP="005927ED">
      <w:pPr>
        <w:rPr>
          <w:rFonts w:ascii="Arial" w:hAnsi="Arial" w:cs="Arial"/>
          <w:sz w:val="24"/>
          <w:szCs w:val="24"/>
        </w:rPr>
      </w:pPr>
      <w:r w:rsidRPr="007B74E4">
        <w:rPr>
          <w:rFonts w:ascii="Arial" w:hAnsi="Arial" w:cs="Arial"/>
          <w:sz w:val="24"/>
          <w:szCs w:val="20"/>
        </w:rPr>
        <w:t xml:space="preserve">Option 2 is unlikely to generate any additional compliance and resourcing costs beyond those already incurred by current compliance and resourcing plans. </w:t>
      </w:r>
      <w:r w:rsidRPr="007B74E4">
        <w:rPr>
          <w:rFonts w:ascii="Arial" w:hAnsi="Arial" w:cs="Arial"/>
          <w:sz w:val="24"/>
          <w:szCs w:val="24"/>
        </w:rPr>
        <w:t xml:space="preserve">If there was an intention to pursue Option 2, of not publishing the FMPs, amendments to the JFS would be required and additional resource would be required for this. </w:t>
      </w:r>
    </w:p>
    <w:p w14:paraId="62478B73" w14:textId="77777777" w:rsidR="005927ED" w:rsidRPr="007B74E4" w:rsidRDefault="005927ED" w:rsidP="005927ED">
      <w:pPr>
        <w:rPr>
          <w:rFonts w:ascii="Arial" w:hAnsi="Arial" w:cs="Arial"/>
          <w:sz w:val="24"/>
          <w:szCs w:val="20"/>
        </w:rPr>
      </w:pPr>
    </w:p>
    <w:p w14:paraId="6DBDB6C8" w14:textId="77777777" w:rsidR="005927ED" w:rsidRPr="007B74E4" w:rsidRDefault="005927ED" w:rsidP="005927ED">
      <w:pPr>
        <w:rPr>
          <w:rFonts w:ascii="Arial" w:hAnsi="Arial" w:cs="Arial"/>
          <w:sz w:val="24"/>
          <w:szCs w:val="24"/>
        </w:rPr>
      </w:pPr>
    </w:p>
    <w:p w14:paraId="221A081A"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Environmental Impacts </w:t>
      </w:r>
    </w:p>
    <w:p w14:paraId="5BB58138" w14:textId="77777777" w:rsidR="005927ED" w:rsidRPr="007B74E4" w:rsidRDefault="005927ED" w:rsidP="005927ED">
      <w:pPr>
        <w:rPr>
          <w:rFonts w:ascii="Arial" w:hAnsi="Arial" w:cs="Arial"/>
        </w:rPr>
      </w:pPr>
    </w:p>
    <w:p w14:paraId="5D2B2EE3" w14:textId="77777777" w:rsidR="005927ED" w:rsidRPr="007B74E4" w:rsidRDefault="005927ED" w:rsidP="005927ED">
      <w:pPr>
        <w:rPr>
          <w:rFonts w:ascii="Arial" w:hAnsi="Arial" w:cs="Arial"/>
          <w:sz w:val="24"/>
          <w:szCs w:val="20"/>
        </w:rPr>
      </w:pPr>
      <w:r w:rsidRPr="007B74E4">
        <w:rPr>
          <w:rFonts w:ascii="Arial" w:hAnsi="Arial" w:cs="Arial"/>
          <w:sz w:val="24"/>
          <w:szCs w:val="20"/>
        </w:rPr>
        <w:t xml:space="preserve">There are likely to be differing environmental impacts realised as a result of pursuing each option. </w:t>
      </w:r>
    </w:p>
    <w:p w14:paraId="5CB2A9BB" w14:textId="77777777" w:rsidR="005927ED" w:rsidRPr="007B74E4" w:rsidRDefault="005927ED" w:rsidP="005927ED">
      <w:pPr>
        <w:rPr>
          <w:rFonts w:ascii="Arial" w:hAnsi="Arial" w:cs="Arial"/>
          <w:sz w:val="24"/>
          <w:szCs w:val="20"/>
        </w:rPr>
      </w:pPr>
    </w:p>
    <w:p w14:paraId="4D266105" w14:textId="77777777" w:rsidR="005927ED" w:rsidRPr="007B74E4" w:rsidRDefault="005927ED" w:rsidP="005927ED">
      <w:pPr>
        <w:rPr>
          <w:rFonts w:ascii="Arial" w:hAnsi="Arial" w:cs="Arial"/>
          <w:sz w:val="24"/>
          <w:szCs w:val="20"/>
        </w:rPr>
      </w:pPr>
      <w:r w:rsidRPr="007B74E4">
        <w:rPr>
          <w:rFonts w:ascii="Arial" w:hAnsi="Arial" w:cs="Arial"/>
          <w:sz w:val="24"/>
          <w:szCs w:val="20"/>
        </w:rPr>
        <w:t>Option 1 is likely to generate environmental benefits associated with sustainable stock management and improving the evidence base underpinning management decisions. However, there may be environmental costs associated with the FMP measures implemented via Option 1, such as the displacement of fishing effort and other unforeseen factors, which could detract from any environmental benefits generated. As the specific measures are yet to be confirmed, the extent to which environmental costs and benefits will be realised is unknown.</w:t>
      </w:r>
    </w:p>
    <w:p w14:paraId="5464E0D8" w14:textId="77777777" w:rsidR="005927ED" w:rsidRPr="007B74E4" w:rsidRDefault="005927ED" w:rsidP="005927ED">
      <w:pPr>
        <w:rPr>
          <w:rFonts w:ascii="Arial" w:hAnsi="Arial" w:cs="Arial"/>
          <w:sz w:val="24"/>
          <w:szCs w:val="20"/>
        </w:rPr>
      </w:pPr>
    </w:p>
    <w:p w14:paraId="3D12AB1E" w14:textId="62A746BF" w:rsidR="005927ED" w:rsidRPr="007B74E4" w:rsidRDefault="005927ED" w:rsidP="005927ED">
      <w:pPr>
        <w:rPr>
          <w:rFonts w:ascii="Arial" w:hAnsi="Arial" w:cs="Arial"/>
          <w:sz w:val="24"/>
          <w:szCs w:val="20"/>
        </w:rPr>
      </w:pPr>
      <w:r w:rsidRPr="007B74E4">
        <w:rPr>
          <w:rFonts w:ascii="Arial" w:hAnsi="Arial" w:cs="Arial"/>
          <w:sz w:val="24"/>
          <w:szCs w:val="20"/>
        </w:rPr>
        <w:t xml:space="preserve">As a continuation of the status quo, Option 2 involves no additional efforts to manage stocks </w:t>
      </w:r>
      <w:r w:rsidR="002F1C2D" w:rsidRPr="007B74E4">
        <w:rPr>
          <w:rFonts w:ascii="Arial" w:hAnsi="Arial" w:cs="Arial"/>
          <w:sz w:val="24"/>
          <w:szCs w:val="20"/>
        </w:rPr>
        <w:t>sustainably or</w:t>
      </w:r>
      <w:r w:rsidRPr="007B74E4">
        <w:rPr>
          <w:rFonts w:ascii="Arial" w:hAnsi="Arial" w:cs="Arial"/>
          <w:sz w:val="24"/>
          <w:szCs w:val="20"/>
        </w:rPr>
        <w:t xml:space="preserve"> improve the existing evidence base that may facilitate greater management decision making. As such, it is likely that this option would incur environmental costs associated with current fishing activities, represented by a potential decline in stock health and abundance through overexploitation and no improvement in the existing evidence base underpinning management decision making. </w:t>
      </w:r>
    </w:p>
    <w:p w14:paraId="103B5FEA" w14:textId="77777777" w:rsidR="005927ED" w:rsidRPr="007B74E4" w:rsidRDefault="005927ED" w:rsidP="005927ED">
      <w:pPr>
        <w:pStyle w:val="Head2"/>
      </w:pPr>
    </w:p>
    <w:p w14:paraId="50DB4875" w14:textId="77777777" w:rsidR="005927ED" w:rsidRPr="007B74E4" w:rsidRDefault="005927ED" w:rsidP="005927ED">
      <w:pPr>
        <w:pStyle w:val="Head2"/>
      </w:pPr>
      <w:bookmarkStart w:id="18" w:name="_Toc233124027"/>
      <w:r w:rsidRPr="007B74E4">
        <w:t>Scottish firms’ international competitiveness</w:t>
      </w:r>
      <w:bookmarkEnd w:id="18"/>
    </w:p>
    <w:p w14:paraId="0777900B" w14:textId="77777777" w:rsidR="005927ED" w:rsidRPr="007B74E4" w:rsidRDefault="005927ED" w:rsidP="005927ED">
      <w:pPr>
        <w:rPr>
          <w:rFonts w:ascii="Arial" w:hAnsi="Arial" w:cs="Arial"/>
        </w:rPr>
      </w:pPr>
    </w:p>
    <w:p w14:paraId="10DD99D1" w14:textId="77777777" w:rsidR="005927ED" w:rsidRPr="007B74E4" w:rsidRDefault="005927ED" w:rsidP="005927ED">
      <w:pPr>
        <w:rPr>
          <w:rFonts w:ascii="Arial" w:hAnsi="Arial" w:cs="Arial"/>
          <w:sz w:val="24"/>
          <w:szCs w:val="24"/>
        </w:rPr>
      </w:pPr>
      <w:r w:rsidRPr="007B74E4">
        <w:rPr>
          <w:rFonts w:ascii="Arial" w:hAnsi="Arial" w:cs="Arial"/>
          <w:sz w:val="24"/>
          <w:szCs w:val="24"/>
        </w:rPr>
        <w:lastRenderedPageBreak/>
        <w:t xml:space="preserve">The FMPs are not expected to have a significant impact on the Scottish businesses ability to compete internationally, nor will it affect Scotland’s attractiveness as a destination for global capital investment. The FMPs are intended to support sustainable and responsible fisheries management, which in turn supports healthy fish stocks and a sustainable fishing industry. This will help ensure that businesses remain competitive and have a strong international reputation and consumer confidence. </w:t>
      </w:r>
    </w:p>
    <w:p w14:paraId="206293A9" w14:textId="77777777" w:rsidR="005927ED" w:rsidRPr="007B74E4" w:rsidRDefault="005927ED" w:rsidP="005927ED">
      <w:pPr>
        <w:rPr>
          <w:rFonts w:ascii="Arial" w:hAnsi="Arial" w:cs="Arial"/>
        </w:rPr>
      </w:pPr>
    </w:p>
    <w:p w14:paraId="00C77EBC" w14:textId="77777777" w:rsidR="005927ED" w:rsidRPr="007B74E4" w:rsidRDefault="005927ED" w:rsidP="005927ED">
      <w:pPr>
        <w:pStyle w:val="Head2"/>
      </w:pPr>
      <w:bookmarkStart w:id="19" w:name="_Toc233124028"/>
      <w:r w:rsidRPr="007B74E4">
        <w:t>Small business impacts</w:t>
      </w:r>
      <w:bookmarkEnd w:id="19"/>
    </w:p>
    <w:p w14:paraId="00559897" w14:textId="77777777" w:rsidR="005927ED" w:rsidRPr="007B74E4" w:rsidRDefault="005927ED" w:rsidP="005927ED">
      <w:pPr>
        <w:rPr>
          <w:rFonts w:ascii="Arial" w:hAnsi="Arial" w:cs="Arial"/>
        </w:rPr>
      </w:pPr>
    </w:p>
    <w:p w14:paraId="6ECB855D" w14:textId="77777777" w:rsidR="005927ED" w:rsidRPr="007B74E4" w:rsidRDefault="005927ED" w:rsidP="005927ED">
      <w:pPr>
        <w:rPr>
          <w:rFonts w:ascii="Arial" w:hAnsi="Arial" w:cs="Arial"/>
          <w:sz w:val="24"/>
          <w:szCs w:val="24"/>
        </w:rPr>
      </w:pPr>
      <w:r w:rsidRPr="007B74E4">
        <w:rPr>
          <w:rFonts w:ascii="Arial" w:hAnsi="Arial" w:cs="Arial"/>
          <w:sz w:val="24"/>
          <w:szCs w:val="24"/>
        </w:rPr>
        <w:t>There are unlikely to be any (disproportionate) direct impacts on small businesses due to publication of FMPs. In 2024, the section of the Scottish fleet primarily using pelagic-targeting gear consisted of 148 active vessels.</w:t>
      </w:r>
      <w:r w:rsidRPr="007B74E4">
        <w:rPr>
          <w:rStyle w:val="FootnoteReference"/>
          <w:rFonts w:ascii="Arial" w:hAnsi="Arial" w:cs="Arial"/>
          <w:sz w:val="24"/>
          <w:szCs w:val="24"/>
        </w:rPr>
        <w:footnoteReference w:id="10"/>
      </w:r>
      <w:r w:rsidRPr="007B74E4">
        <w:rPr>
          <w:rFonts w:ascii="Arial" w:hAnsi="Arial" w:cs="Arial"/>
          <w:sz w:val="24"/>
          <w:szCs w:val="24"/>
        </w:rPr>
        <w:t xml:space="preserve"> 127 of these vessels (86% of this fleet) were ten metres or under in length, with 21 vessels (14% of the fleet) over ten metres. All of the over ten metres fleet were greater than 40 metres in length and used pelagic trawling gear, while almost all of the vessels 10 metres and under in length used pelagic handlines. Vessels using pelagic trawling gear accounted for 99% of all pelagic landings in 2024. </w:t>
      </w:r>
    </w:p>
    <w:p w14:paraId="10C82215" w14:textId="77777777" w:rsidR="005927ED" w:rsidRPr="007B74E4" w:rsidRDefault="005927ED" w:rsidP="005927ED">
      <w:pPr>
        <w:rPr>
          <w:rFonts w:ascii="Arial" w:hAnsi="Arial" w:cs="Arial"/>
          <w:sz w:val="24"/>
          <w:szCs w:val="24"/>
        </w:rPr>
      </w:pPr>
    </w:p>
    <w:p w14:paraId="68D02CCF" w14:textId="77777777" w:rsidR="005927ED" w:rsidRPr="007B74E4" w:rsidRDefault="005927ED" w:rsidP="005927ED">
      <w:pPr>
        <w:rPr>
          <w:rFonts w:ascii="Arial" w:hAnsi="Arial" w:cs="Arial"/>
          <w:sz w:val="24"/>
          <w:szCs w:val="24"/>
        </w:rPr>
      </w:pPr>
      <w:r w:rsidRPr="007B74E4">
        <w:rPr>
          <w:rFonts w:ascii="Arial" w:hAnsi="Arial" w:cs="Arial"/>
          <w:sz w:val="24"/>
          <w:szCs w:val="24"/>
        </w:rPr>
        <w:t>However, further policy development work will be needed for any new actions, which could include further evidence gathering or public consultation, along with the completion of appropriate impact assessments. Many of the actions are already underway and part of multi-year delivery programmes, and their development has also been subject to public consultation and appropriate impact assessments carried out by Scottish Government and the other relevant authorities, as required (such as BRIA).</w:t>
      </w:r>
    </w:p>
    <w:p w14:paraId="1553EF59" w14:textId="77777777" w:rsidR="005927ED" w:rsidRPr="007B74E4" w:rsidRDefault="005927ED" w:rsidP="005927ED">
      <w:pPr>
        <w:rPr>
          <w:rFonts w:ascii="Arial" w:hAnsi="Arial" w:cs="Arial"/>
          <w:sz w:val="24"/>
          <w:szCs w:val="24"/>
        </w:rPr>
      </w:pPr>
    </w:p>
    <w:p w14:paraId="5011DD42" w14:textId="77777777" w:rsidR="005927ED" w:rsidRPr="007B74E4" w:rsidRDefault="005927ED" w:rsidP="005927ED">
      <w:pPr>
        <w:rPr>
          <w:rFonts w:ascii="Arial" w:hAnsi="Arial" w:cs="Arial"/>
          <w:sz w:val="24"/>
          <w:szCs w:val="24"/>
        </w:rPr>
      </w:pPr>
      <w:r w:rsidRPr="007B74E4">
        <w:rPr>
          <w:rFonts w:ascii="Arial" w:hAnsi="Arial" w:cs="Arial"/>
          <w:sz w:val="24"/>
          <w:szCs w:val="24"/>
        </w:rPr>
        <w:t>In terms of the make-up of the groups affected, they are most likely small and micro businesses. The definition of small and micro business is based on employing fewer than 50 FTE from the Small Business, Enterprise and Employment Act 2015</w:t>
      </w:r>
      <w:r w:rsidRPr="007B74E4">
        <w:rPr>
          <w:rStyle w:val="FootnoteReference"/>
          <w:rFonts w:ascii="Arial" w:hAnsi="Arial" w:cs="Arial"/>
          <w:sz w:val="24"/>
          <w:szCs w:val="24"/>
        </w:rPr>
        <w:footnoteReference w:id="11"/>
      </w:r>
      <w:r w:rsidRPr="007B74E4">
        <w:rPr>
          <w:rFonts w:ascii="Arial" w:hAnsi="Arial" w:cs="Arial"/>
          <w:sz w:val="24"/>
          <w:szCs w:val="24"/>
        </w:rPr>
        <w:t>. Every business in the Marine Fishing standard industry classification would be a small or micro business, as all employ fewer than 50 FTE</w:t>
      </w:r>
      <w:r w:rsidRPr="007B74E4">
        <w:rPr>
          <w:rStyle w:val="FootnoteReference"/>
          <w:rFonts w:ascii="Arial" w:hAnsi="Arial" w:cs="Arial"/>
          <w:sz w:val="24"/>
          <w:szCs w:val="24"/>
        </w:rPr>
        <w:footnoteReference w:id="12"/>
      </w:r>
      <w:r w:rsidRPr="007B74E4">
        <w:rPr>
          <w:rFonts w:ascii="Arial" w:hAnsi="Arial" w:cs="Arial"/>
          <w:sz w:val="24"/>
          <w:szCs w:val="24"/>
        </w:rPr>
        <w:t>. As marine fishing businesses are the most likely to be affected by the FMPs, the main group affected will be composed of small and micro business.</w:t>
      </w:r>
    </w:p>
    <w:p w14:paraId="58620218" w14:textId="77777777" w:rsidR="005927ED" w:rsidRPr="007B74E4" w:rsidRDefault="005927ED" w:rsidP="005927ED">
      <w:pPr>
        <w:rPr>
          <w:rFonts w:ascii="Arial" w:hAnsi="Arial" w:cs="Arial"/>
        </w:rPr>
      </w:pPr>
    </w:p>
    <w:p w14:paraId="42F739BF" w14:textId="77777777" w:rsidR="005927ED" w:rsidRPr="007B74E4" w:rsidRDefault="005927ED" w:rsidP="005927ED">
      <w:pPr>
        <w:pStyle w:val="Head2"/>
      </w:pPr>
      <w:bookmarkStart w:id="20" w:name="_Toc233124029"/>
      <w:bookmarkStart w:id="21" w:name="_Hlk164419099"/>
      <w:r w:rsidRPr="007B74E4">
        <w:t>Investment</w:t>
      </w:r>
      <w:bookmarkEnd w:id="20"/>
    </w:p>
    <w:p w14:paraId="216F24DD" w14:textId="77777777" w:rsidR="005927ED" w:rsidRPr="007B74E4" w:rsidRDefault="005927ED" w:rsidP="005927ED">
      <w:pPr>
        <w:rPr>
          <w:rFonts w:ascii="Arial" w:hAnsi="Arial" w:cs="Arial"/>
        </w:rPr>
      </w:pPr>
    </w:p>
    <w:p w14:paraId="3FE5E8E9"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There are unlikely to be any direct impacts to make Scotland (or wider UK) a more, or less, attractive place for global investment. </w:t>
      </w:r>
    </w:p>
    <w:bookmarkEnd w:id="21"/>
    <w:p w14:paraId="7224F614" w14:textId="77777777" w:rsidR="005927ED" w:rsidRPr="007B74E4" w:rsidRDefault="005927ED" w:rsidP="005927ED">
      <w:pPr>
        <w:rPr>
          <w:rFonts w:ascii="Arial" w:hAnsi="Arial" w:cs="Arial"/>
        </w:rPr>
      </w:pPr>
    </w:p>
    <w:p w14:paraId="0F014964" w14:textId="77777777" w:rsidR="005927ED" w:rsidRPr="007B74E4" w:rsidRDefault="005927ED" w:rsidP="005927ED">
      <w:pPr>
        <w:pStyle w:val="Head2"/>
      </w:pPr>
      <w:bookmarkStart w:id="22" w:name="_Toc233124030"/>
      <w:r w:rsidRPr="007B74E4">
        <w:t>Workforce and Fair Work</w:t>
      </w:r>
      <w:bookmarkEnd w:id="22"/>
    </w:p>
    <w:p w14:paraId="3F693900" w14:textId="77777777" w:rsidR="005927ED" w:rsidRPr="007B74E4" w:rsidRDefault="005927ED" w:rsidP="005927ED">
      <w:pPr>
        <w:rPr>
          <w:rFonts w:ascii="Arial" w:hAnsi="Arial" w:cs="Arial"/>
        </w:rPr>
      </w:pPr>
    </w:p>
    <w:p w14:paraId="42BC8D44" w14:textId="77777777" w:rsidR="005927ED" w:rsidRPr="007B74E4" w:rsidRDefault="005927ED" w:rsidP="005927ED">
      <w:pPr>
        <w:rPr>
          <w:rFonts w:ascii="Arial" w:hAnsi="Arial" w:cs="Arial"/>
          <w:sz w:val="24"/>
          <w:szCs w:val="24"/>
        </w:rPr>
      </w:pPr>
      <w:r w:rsidRPr="007B74E4">
        <w:rPr>
          <w:rFonts w:ascii="Arial" w:hAnsi="Arial" w:cs="Arial"/>
          <w:sz w:val="24"/>
          <w:szCs w:val="24"/>
        </w:rPr>
        <w:t>There are unlikely to be any direct impacts affecting the workforce.</w:t>
      </w:r>
    </w:p>
    <w:p w14:paraId="5684427E" w14:textId="77777777" w:rsidR="005927ED" w:rsidRPr="007B74E4" w:rsidRDefault="005927ED" w:rsidP="005927ED">
      <w:pPr>
        <w:rPr>
          <w:rFonts w:ascii="Arial" w:hAnsi="Arial" w:cs="Arial"/>
          <w:sz w:val="24"/>
          <w:szCs w:val="24"/>
        </w:rPr>
      </w:pPr>
    </w:p>
    <w:p w14:paraId="2AF7BEFB" w14:textId="77777777" w:rsidR="005927ED" w:rsidRPr="007B74E4" w:rsidRDefault="005927ED" w:rsidP="005927ED">
      <w:pPr>
        <w:rPr>
          <w:rFonts w:ascii="Arial" w:hAnsi="Arial" w:cs="Arial"/>
          <w:sz w:val="24"/>
          <w:szCs w:val="24"/>
        </w:rPr>
      </w:pPr>
      <w:r w:rsidRPr="007B74E4">
        <w:rPr>
          <w:rFonts w:ascii="Arial" w:hAnsi="Arial" w:cs="Arial"/>
          <w:sz w:val="24"/>
          <w:szCs w:val="24"/>
        </w:rPr>
        <w:t>The FMPs will not have any direct impact on Fair Work First principles.</w:t>
      </w:r>
    </w:p>
    <w:p w14:paraId="7D66698A" w14:textId="77777777" w:rsidR="005927ED" w:rsidRPr="007B74E4" w:rsidRDefault="005927ED" w:rsidP="005927ED">
      <w:pPr>
        <w:rPr>
          <w:rFonts w:ascii="Arial" w:hAnsi="Arial" w:cs="Arial"/>
        </w:rPr>
      </w:pPr>
    </w:p>
    <w:p w14:paraId="5CEBC27A" w14:textId="77777777" w:rsidR="005927ED" w:rsidRPr="007B74E4" w:rsidRDefault="005927ED" w:rsidP="005927ED">
      <w:pPr>
        <w:pStyle w:val="Head2"/>
      </w:pPr>
      <w:bookmarkStart w:id="23" w:name="_Toc233124031"/>
      <w:r w:rsidRPr="007B74E4">
        <w:lastRenderedPageBreak/>
        <w:t>Climate change/ Circular Economy</w:t>
      </w:r>
      <w:bookmarkEnd w:id="23"/>
    </w:p>
    <w:p w14:paraId="5B909929" w14:textId="77777777" w:rsidR="005927ED" w:rsidRPr="007B74E4" w:rsidRDefault="005927ED" w:rsidP="005927ED">
      <w:pPr>
        <w:rPr>
          <w:rFonts w:ascii="Arial" w:hAnsi="Arial" w:cs="Arial"/>
          <w:sz w:val="24"/>
          <w:szCs w:val="24"/>
        </w:rPr>
      </w:pPr>
    </w:p>
    <w:p w14:paraId="123FE271" w14:textId="4D733E0D" w:rsidR="005927ED" w:rsidRPr="007B74E4" w:rsidRDefault="005927ED" w:rsidP="005927ED">
      <w:pPr>
        <w:rPr>
          <w:rFonts w:ascii="Arial" w:eastAsia="Calibri" w:hAnsi="Arial" w:cs="Arial"/>
          <w:kern w:val="0"/>
          <w:sz w:val="24"/>
          <w:szCs w:val="24"/>
          <w14:ligatures w14:val="none"/>
        </w:rPr>
      </w:pPr>
      <w:r w:rsidRPr="007B74E4">
        <w:rPr>
          <w:rFonts w:ascii="Arial" w:eastAsia="Calibri" w:hAnsi="Arial" w:cs="Arial"/>
          <w:kern w:val="0"/>
          <w:sz w:val="24"/>
          <w:szCs w:val="24"/>
          <w14:ligatures w14:val="none"/>
        </w:rPr>
        <w:t>Climate change is already reshaping pelagic fish distributions, productivity, and ecosystem interactions, posing significant challenges for fisheries management systems that have traditionally relied on stable, historical conditions. Pelagic species are particularly sensitive to environmental change, responding rapidly to warming seas due to their strong dependence on temperature and plankton availability.</w:t>
      </w:r>
    </w:p>
    <w:p w14:paraId="78B6A468" w14:textId="4698414C" w:rsidR="005927ED" w:rsidRPr="00E52720" w:rsidRDefault="005927ED" w:rsidP="00E52720">
      <w:pPr>
        <w:spacing w:before="100" w:beforeAutospacing="1" w:after="100" w:afterAutospacing="1" w:line="300" w:lineRule="atLeast"/>
        <w:rPr>
          <w:rFonts w:ascii="Arial" w:hAnsi="Arial" w:cs="Arial"/>
          <w:kern w:val="0"/>
          <w:sz w:val="24"/>
          <w:szCs w:val="24"/>
          <w:lang w:eastAsia="en-GB"/>
          <w14:ligatures w14:val="none"/>
        </w:rPr>
      </w:pPr>
      <w:r w:rsidRPr="007B74E4">
        <w:rPr>
          <w:rFonts w:ascii="Arial" w:eastAsia="Calibri" w:hAnsi="Arial" w:cs="Arial"/>
          <w:kern w:val="0"/>
          <w:sz w:val="24"/>
          <w:szCs w:val="24"/>
          <w14:ligatures w14:val="none"/>
        </w:rPr>
        <w:t xml:space="preserve">Observed changes include pronounced poleward shifts in both warm-water and temperate species, as well as large-scale movements such as the northeast Atlantic mackerel stock shifting markedly westward and northward between 2007 and 2016. Boreal species like herring and blue whiting are increasingly concentrated in more northerly waters, including around Norway, Iceland, and the Barents Sea. At the same time, warmer-water species such as sardine and anchovy are appearing more frequently in and around the North Sea </w:t>
      </w:r>
      <w:r w:rsidRPr="007B74E4">
        <w:rPr>
          <w:rFonts w:ascii="Arial" w:hAnsi="Arial" w:cs="Arial"/>
          <w:kern w:val="0"/>
          <w:sz w:val="24"/>
          <w:szCs w:val="20"/>
          <w:lang w:eastAsia="en-GB"/>
          <w14:ligatures w14:val="none"/>
        </w:rPr>
        <w:t>(Baudron et al., 2020</w:t>
      </w:r>
      <w:r w:rsidRPr="007B74E4">
        <w:rPr>
          <w:rFonts w:ascii="Arial" w:hAnsi="Arial" w:cs="Arial"/>
          <w:kern w:val="0"/>
          <w:sz w:val="24"/>
          <w:szCs w:val="20"/>
          <w:vertAlign w:val="superscript"/>
          <w:lang w:eastAsia="en-GB"/>
          <w14:ligatures w14:val="none"/>
        </w:rPr>
        <w:footnoteReference w:id="13"/>
      </w:r>
      <w:r w:rsidRPr="007B74E4">
        <w:rPr>
          <w:rFonts w:ascii="Arial" w:hAnsi="Arial" w:cs="Arial"/>
          <w:kern w:val="0"/>
          <w:sz w:val="24"/>
          <w:szCs w:val="20"/>
          <w:lang w:eastAsia="en-GB"/>
          <w14:ligatures w14:val="none"/>
        </w:rPr>
        <w:t>; Townhill et al., 2023</w:t>
      </w:r>
      <w:r w:rsidRPr="007B74E4">
        <w:rPr>
          <w:rFonts w:ascii="Arial" w:hAnsi="Arial" w:cs="Arial"/>
          <w:kern w:val="0"/>
          <w:sz w:val="24"/>
          <w:szCs w:val="20"/>
          <w:vertAlign w:val="superscript"/>
          <w:lang w:eastAsia="en-GB"/>
          <w14:ligatures w14:val="none"/>
        </w:rPr>
        <w:footnoteReference w:id="14"/>
      </w:r>
      <w:r w:rsidRPr="007B74E4">
        <w:rPr>
          <w:rFonts w:ascii="Arial" w:hAnsi="Arial" w:cs="Arial"/>
          <w:kern w:val="0"/>
          <w:sz w:val="24"/>
          <w:szCs w:val="20"/>
          <w:lang w:eastAsia="en-GB"/>
          <w14:ligatures w14:val="none"/>
        </w:rPr>
        <w:t xml:space="preserve">; Pinnegar et al., </w:t>
      </w:r>
      <w:r w:rsidR="002F1C2D" w:rsidRPr="007B74E4">
        <w:rPr>
          <w:rFonts w:ascii="Arial" w:hAnsi="Arial" w:cs="Arial"/>
          <w:kern w:val="0"/>
          <w:sz w:val="24"/>
          <w:szCs w:val="20"/>
          <w:lang w:eastAsia="en-GB"/>
          <w14:ligatures w14:val="none"/>
        </w:rPr>
        <w:t>2023;</w:t>
      </w:r>
      <w:r w:rsidRPr="007B74E4">
        <w:rPr>
          <w:rFonts w:ascii="Arial" w:hAnsi="Arial" w:cs="Arial"/>
          <w:kern w:val="0"/>
          <w:sz w:val="24"/>
          <w:szCs w:val="20"/>
          <w:lang w:eastAsia="en-GB"/>
          <w14:ligatures w14:val="none"/>
        </w:rPr>
        <w:t xml:space="preserve"> Garrett et al., 2024; Montero Serra et al., 2015)</w:t>
      </w:r>
    </w:p>
    <w:p w14:paraId="11CE2EB5" w14:textId="77777777" w:rsidR="005927ED" w:rsidRPr="007B74E4" w:rsidRDefault="005927ED" w:rsidP="005927ED">
      <w:pPr>
        <w:rPr>
          <w:rFonts w:ascii="Arial" w:eastAsia="Calibri" w:hAnsi="Arial" w:cs="Arial"/>
          <w:kern w:val="0"/>
          <w:sz w:val="24"/>
          <w:szCs w:val="24"/>
          <w14:ligatures w14:val="none"/>
        </w:rPr>
      </w:pPr>
      <w:r w:rsidRPr="007B74E4">
        <w:rPr>
          <w:rFonts w:ascii="Arial" w:eastAsia="Calibri" w:hAnsi="Arial" w:cs="Arial"/>
          <w:kern w:val="0"/>
          <w:sz w:val="24"/>
          <w:szCs w:val="24"/>
          <w14:ligatures w14:val="none"/>
        </w:rPr>
        <w:t>Climate change is also influencing pelagic fish productivity, particularly through effects on spawning success and larval survival. While warmer years have produced strong recruitment for some species, responses are highly variable across regions and species, creating uncertainty for stock management and forecasting.</w:t>
      </w:r>
    </w:p>
    <w:p w14:paraId="2DE29239" w14:textId="77777777" w:rsidR="005927ED" w:rsidRPr="007B74E4" w:rsidRDefault="005927ED" w:rsidP="005927ED">
      <w:pPr>
        <w:rPr>
          <w:rFonts w:ascii="Arial" w:eastAsia="Calibri" w:hAnsi="Arial" w:cs="Arial"/>
          <w:kern w:val="0"/>
          <w:sz w:val="24"/>
          <w:szCs w:val="24"/>
          <w14:ligatures w14:val="none"/>
        </w:rPr>
      </w:pPr>
    </w:p>
    <w:p w14:paraId="68105E96" w14:textId="77777777" w:rsidR="005927ED" w:rsidRPr="007B74E4" w:rsidRDefault="005927ED" w:rsidP="005927ED">
      <w:pPr>
        <w:rPr>
          <w:rFonts w:ascii="Arial" w:eastAsia="Calibri" w:hAnsi="Arial" w:cs="Arial"/>
          <w:kern w:val="0"/>
          <w:sz w:val="24"/>
          <w:szCs w:val="24"/>
          <w14:ligatures w14:val="none"/>
        </w:rPr>
      </w:pPr>
      <w:r w:rsidRPr="007B74E4">
        <w:rPr>
          <w:rFonts w:ascii="Arial" w:eastAsia="Calibri" w:hAnsi="Arial" w:cs="Arial"/>
          <w:kern w:val="0"/>
          <w:sz w:val="24"/>
          <w:szCs w:val="24"/>
          <w14:ligatures w14:val="none"/>
        </w:rPr>
        <w:t>These ecological shifts have important implications for marine food webs. Pelagic fish occupy a central “wasp-waist”</w:t>
      </w:r>
      <w:r w:rsidRPr="007B74E4">
        <w:rPr>
          <w:rStyle w:val="FootnoteReference"/>
          <w:rFonts w:ascii="Arial" w:eastAsia="Calibri" w:hAnsi="Arial" w:cs="Arial"/>
          <w:kern w:val="0"/>
          <w:sz w:val="24"/>
          <w:szCs w:val="24"/>
          <w14:ligatures w14:val="none"/>
        </w:rPr>
        <w:footnoteReference w:id="15"/>
      </w:r>
      <w:r w:rsidRPr="007B74E4">
        <w:rPr>
          <w:rFonts w:ascii="Arial" w:eastAsia="Calibri" w:hAnsi="Arial" w:cs="Arial"/>
          <w:kern w:val="0"/>
          <w:sz w:val="24"/>
          <w:szCs w:val="24"/>
          <w14:ligatures w14:val="none"/>
        </w:rPr>
        <w:t xml:space="preserve"> role, linking lower and upper trophic levels, meaning changes in their abundance or distribution can have cascading ecosystem effects. Evidence already points to altered predator–prey dynamics, shifts in plankton communities, and increased interactions with species such as cephalopods, all of which influence feeding and migration patterns.</w:t>
      </w:r>
    </w:p>
    <w:p w14:paraId="57097E14" w14:textId="77777777" w:rsidR="005927ED" w:rsidRPr="007B74E4" w:rsidRDefault="005927ED" w:rsidP="005927ED">
      <w:pPr>
        <w:rPr>
          <w:rFonts w:ascii="Arial" w:eastAsia="Calibri" w:hAnsi="Arial" w:cs="Arial"/>
          <w:kern w:val="0"/>
          <w:sz w:val="24"/>
          <w:szCs w:val="24"/>
          <w14:ligatures w14:val="none"/>
        </w:rPr>
      </w:pPr>
    </w:p>
    <w:p w14:paraId="22369A16" w14:textId="745908D9" w:rsidR="005927ED" w:rsidRPr="007B74E4" w:rsidRDefault="005927ED" w:rsidP="005927ED">
      <w:pPr>
        <w:rPr>
          <w:rFonts w:ascii="Arial" w:eastAsia="Calibri" w:hAnsi="Arial" w:cs="Arial"/>
          <w:kern w:val="0"/>
          <w:sz w:val="24"/>
          <w:szCs w:val="24"/>
          <w14:ligatures w14:val="none"/>
        </w:rPr>
      </w:pPr>
      <w:r w:rsidRPr="007B74E4">
        <w:rPr>
          <w:rFonts w:ascii="Arial" w:eastAsia="Calibri" w:hAnsi="Arial" w:cs="Arial"/>
          <w:kern w:val="0"/>
          <w:sz w:val="24"/>
          <w:szCs w:val="24"/>
          <w14:ligatures w14:val="none"/>
        </w:rPr>
        <w:t xml:space="preserve">Given these complexities, traditional single-species management approaches risk overlooking important ecosystem </w:t>
      </w:r>
      <w:r w:rsidR="002F1C2D" w:rsidRPr="007B74E4">
        <w:rPr>
          <w:rFonts w:ascii="Arial" w:eastAsia="Calibri" w:hAnsi="Arial" w:cs="Arial"/>
          <w:kern w:val="0"/>
          <w:sz w:val="24"/>
          <w:szCs w:val="24"/>
          <w14:ligatures w14:val="none"/>
        </w:rPr>
        <w:t>feedback</w:t>
      </w:r>
      <w:r w:rsidRPr="007B74E4">
        <w:rPr>
          <w:rFonts w:ascii="Arial" w:eastAsia="Calibri" w:hAnsi="Arial" w:cs="Arial"/>
          <w:kern w:val="0"/>
          <w:sz w:val="24"/>
          <w:szCs w:val="24"/>
          <w14:ligatures w14:val="none"/>
        </w:rPr>
        <w:t xml:space="preserve"> driven by climate change. There is increasing recognition of the need for ecosystem-based fisheries management, particularly for key forage species such as herring and sprat, to better account for interconnected ecological processes.</w:t>
      </w:r>
    </w:p>
    <w:p w14:paraId="23C20926" w14:textId="77777777" w:rsidR="005927ED" w:rsidRPr="007B74E4" w:rsidRDefault="005927ED" w:rsidP="005927ED">
      <w:pPr>
        <w:rPr>
          <w:rFonts w:ascii="Arial" w:eastAsia="Calibri" w:hAnsi="Arial" w:cs="Arial"/>
          <w:kern w:val="0"/>
          <w:sz w:val="24"/>
          <w:szCs w:val="24"/>
          <w14:ligatures w14:val="none"/>
        </w:rPr>
      </w:pPr>
    </w:p>
    <w:p w14:paraId="65E5B166" w14:textId="77777777" w:rsidR="005927ED" w:rsidRPr="007B74E4" w:rsidRDefault="005927ED" w:rsidP="005927ED">
      <w:pPr>
        <w:rPr>
          <w:rFonts w:ascii="Arial" w:hAnsi="Arial" w:cs="Arial"/>
        </w:rPr>
      </w:pPr>
      <w:r w:rsidRPr="007B74E4">
        <w:rPr>
          <w:rFonts w:ascii="Arial" w:eastAsia="Calibri" w:hAnsi="Arial" w:cs="Arial"/>
          <w:kern w:val="0"/>
          <w:sz w:val="24"/>
          <w:szCs w:val="24"/>
          <w14:ligatures w14:val="none"/>
        </w:rPr>
        <w:t xml:space="preserve">Pelagic FMPs aim to support the sector in adapting to these changes by promoting research into climate impacts on fisheries and their wider ecosystems, as well as the environmental effects of fishing activity. As the evidence base improves, these plans will evolve to refine actions that help reduce emissions, support industry adaptation, and align with broader climate and circular economy objectives, while </w:t>
      </w:r>
      <w:r w:rsidRPr="007B74E4">
        <w:rPr>
          <w:rFonts w:ascii="Arial" w:eastAsia="Calibri" w:hAnsi="Arial" w:cs="Arial"/>
          <w:kern w:val="0"/>
          <w:sz w:val="24"/>
          <w:szCs w:val="24"/>
          <w14:ligatures w14:val="none"/>
        </w:rPr>
        <w:lastRenderedPageBreak/>
        <w:t>complementary measures are developed and implemented alongside the FMP framework.</w:t>
      </w:r>
    </w:p>
    <w:p w14:paraId="37D3718B" w14:textId="77777777" w:rsidR="005927ED" w:rsidRPr="007B74E4" w:rsidRDefault="005927ED" w:rsidP="005927ED">
      <w:pPr>
        <w:rPr>
          <w:rFonts w:ascii="Arial" w:hAnsi="Arial" w:cs="Arial"/>
        </w:rPr>
      </w:pPr>
    </w:p>
    <w:p w14:paraId="45B7B305" w14:textId="77777777" w:rsidR="005927ED" w:rsidRPr="007B74E4" w:rsidRDefault="005927ED" w:rsidP="005927ED">
      <w:pPr>
        <w:pStyle w:val="Head2"/>
      </w:pPr>
      <w:bookmarkStart w:id="24" w:name="_Toc233124032"/>
      <w:r w:rsidRPr="007B74E4">
        <w:t>Competition Assessment</w:t>
      </w:r>
      <w:bookmarkEnd w:id="24"/>
    </w:p>
    <w:p w14:paraId="335B9245" w14:textId="77777777" w:rsidR="005927ED" w:rsidRPr="007B74E4" w:rsidRDefault="005927ED" w:rsidP="005927ED">
      <w:pPr>
        <w:rPr>
          <w:rFonts w:ascii="Arial" w:hAnsi="Arial" w:cs="Arial"/>
          <w:u w:val="single"/>
        </w:rPr>
      </w:pPr>
      <w:bookmarkStart w:id="25" w:name="_Hlk204846778"/>
    </w:p>
    <w:p w14:paraId="5B073788"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Will the measure directly or indirectly limit the number or range of suppliers? </w:t>
      </w:r>
    </w:p>
    <w:p w14:paraId="3EEA4DC6" w14:textId="77777777" w:rsidR="005927ED" w:rsidRPr="007B74E4" w:rsidRDefault="005927ED" w:rsidP="005927ED">
      <w:pPr>
        <w:rPr>
          <w:rFonts w:ascii="Arial" w:hAnsi="Arial" w:cs="Arial"/>
          <w:sz w:val="24"/>
          <w:szCs w:val="24"/>
          <w:u w:val="single"/>
        </w:rPr>
      </w:pPr>
      <w:r w:rsidRPr="007B74E4">
        <w:rPr>
          <w:rFonts w:ascii="Arial" w:hAnsi="Arial" w:cs="Arial"/>
          <w:sz w:val="24"/>
          <w:szCs w:val="24"/>
        </w:rPr>
        <w:t xml:space="preserve">Pelagic FMPs are unlikely to limit the number or range of suppliers. </w:t>
      </w:r>
    </w:p>
    <w:p w14:paraId="3DB677F3" w14:textId="77777777" w:rsidR="005927ED" w:rsidRPr="007B74E4" w:rsidRDefault="005927ED" w:rsidP="005927ED">
      <w:pPr>
        <w:rPr>
          <w:rFonts w:ascii="Arial" w:hAnsi="Arial" w:cs="Arial"/>
          <w:sz w:val="24"/>
          <w:szCs w:val="24"/>
          <w:u w:val="single"/>
        </w:rPr>
      </w:pPr>
    </w:p>
    <w:p w14:paraId="1C248902"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Will the measure limit the ability of suppliers to compete? </w:t>
      </w:r>
    </w:p>
    <w:p w14:paraId="40A8E280" w14:textId="77777777" w:rsidR="005927ED" w:rsidRPr="007B74E4" w:rsidRDefault="005927ED" w:rsidP="005927ED">
      <w:pPr>
        <w:rPr>
          <w:rFonts w:ascii="Arial" w:hAnsi="Arial" w:cs="Arial"/>
          <w:sz w:val="24"/>
          <w:szCs w:val="24"/>
          <w:u w:val="single"/>
        </w:rPr>
      </w:pPr>
      <w:r w:rsidRPr="007B74E4">
        <w:rPr>
          <w:rFonts w:ascii="Arial" w:hAnsi="Arial" w:cs="Arial"/>
          <w:sz w:val="24"/>
          <w:szCs w:val="24"/>
        </w:rPr>
        <w:t>Pelagic FMPs are unlikely to limit the ability of suppliers to compete.</w:t>
      </w:r>
    </w:p>
    <w:p w14:paraId="2A061AFF" w14:textId="77777777" w:rsidR="005927ED" w:rsidRPr="007B74E4" w:rsidRDefault="005927ED" w:rsidP="005927ED">
      <w:pPr>
        <w:rPr>
          <w:rFonts w:ascii="Arial" w:hAnsi="Arial" w:cs="Arial"/>
          <w:sz w:val="24"/>
          <w:szCs w:val="24"/>
          <w:u w:val="single"/>
        </w:rPr>
      </w:pPr>
    </w:p>
    <w:p w14:paraId="474681F3"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Will the measure limit suppliers’ incentives to compete? </w:t>
      </w:r>
    </w:p>
    <w:p w14:paraId="76F434E5" w14:textId="77777777" w:rsidR="005927ED" w:rsidRPr="007B74E4" w:rsidRDefault="005927ED" w:rsidP="005927ED">
      <w:pPr>
        <w:rPr>
          <w:rFonts w:ascii="Arial" w:hAnsi="Arial" w:cs="Arial"/>
          <w:sz w:val="24"/>
          <w:szCs w:val="24"/>
        </w:rPr>
      </w:pPr>
      <w:r w:rsidRPr="007B74E4">
        <w:rPr>
          <w:rFonts w:ascii="Arial" w:hAnsi="Arial" w:cs="Arial"/>
          <w:sz w:val="24"/>
          <w:szCs w:val="24"/>
        </w:rPr>
        <w:t>Pelagic FMPs are unlikely to limit suppliers’ incentives to compete.</w:t>
      </w:r>
    </w:p>
    <w:p w14:paraId="119E2B6E" w14:textId="77777777" w:rsidR="005927ED" w:rsidRPr="007B74E4" w:rsidRDefault="005927ED" w:rsidP="005927ED">
      <w:pPr>
        <w:rPr>
          <w:rFonts w:ascii="Arial" w:hAnsi="Arial" w:cs="Arial"/>
          <w:sz w:val="24"/>
          <w:szCs w:val="24"/>
          <w:u w:val="single"/>
        </w:rPr>
      </w:pPr>
    </w:p>
    <w:p w14:paraId="7BF4E6B6"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Will the measure affect consumers’ ability to engage with the market and make choices that align with their preferences? </w:t>
      </w:r>
    </w:p>
    <w:p w14:paraId="7D43C674" w14:textId="77777777" w:rsidR="005927ED" w:rsidRPr="007B74E4" w:rsidRDefault="005927ED" w:rsidP="005927ED">
      <w:pPr>
        <w:rPr>
          <w:rFonts w:ascii="Arial" w:hAnsi="Arial" w:cs="Arial"/>
          <w:sz w:val="24"/>
          <w:szCs w:val="24"/>
        </w:rPr>
      </w:pPr>
      <w:r w:rsidRPr="007B74E4">
        <w:rPr>
          <w:rFonts w:ascii="Arial" w:hAnsi="Arial" w:cs="Arial"/>
          <w:sz w:val="24"/>
          <w:szCs w:val="24"/>
        </w:rPr>
        <w:t>Pelagic FMPs are unlikely to affect consumers’ ability to engage with the market and make choices that align with their preferences.</w:t>
      </w:r>
    </w:p>
    <w:p w14:paraId="2C21578A" w14:textId="77777777" w:rsidR="005927ED" w:rsidRPr="007B74E4" w:rsidRDefault="005927ED" w:rsidP="005927ED">
      <w:pPr>
        <w:rPr>
          <w:rFonts w:ascii="Arial" w:hAnsi="Arial" w:cs="Arial"/>
          <w:sz w:val="24"/>
          <w:szCs w:val="24"/>
          <w:u w:val="single"/>
        </w:rPr>
      </w:pPr>
    </w:p>
    <w:p w14:paraId="1628054E"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Will the measure affect suppliers’ ability and/or incentive to introduce new technologies, products or business models?</w:t>
      </w:r>
    </w:p>
    <w:p w14:paraId="18602F58" w14:textId="77777777" w:rsidR="005927ED" w:rsidRPr="007B74E4" w:rsidRDefault="005927ED" w:rsidP="005927ED">
      <w:pPr>
        <w:rPr>
          <w:rFonts w:ascii="Arial" w:hAnsi="Arial" w:cs="Arial"/>
          <w:sz w:val="24"/>
          <w:szCs w:val="24"/>
        </w:rPr>
      </w:pPr>
      <w:r w:rsidRPr="007B74E4">
        <w:rPr>
          <w:rFonts w:ascii="Arial" w:hAnsi="Arial" w:cs="Arial"/>
          <w:sz w:val="24"/>
          <w:szCs w:val="24"/>
        </w:rPr>
        <w:t>Pelagic FMPs are unlikely to affect suppliers’ ability and/or incentive to introduce new technologies, products or business models.</w:t>
      </w:r>
    </w:p>
    <w:p w14:paraId="3D050AAD" w14:textId="77777777" w:rsidR="005927ED" w:rsidRPr="007B74E4" w:rsidRDefault="005927ED" w:rsidP="005927ED">
      <w:pPr>
        <w:rPr>
          <w:rFonts w:ascii="Arial" w:hAnsi="Arial" w:cs="Arial"/>
          <w:sz w:val="24"/>
          <w:szCs w:val="24"/>
        </w:rPr>
      </w:pPr>
    </w:p>
    <w:p w14:paraId="0577622C" w14:textId="77777777" w:rsidR="005927ED" w:rsidRPr="007B74E4" w:rsidRDefault="005927ED" w:rsidP="005927ED">
      <w:pPr>
        <w:rPr>
          <w:rFonts w:ascii="Arial" w:hAnsi="Arial" w:cs="Arial"/>
          <w:sz w:val="24"/>
          <w:szCs w:val="24"/>
        </w:rPr>
      </w:pPr>
      <w:r w:rsidRPr="007B74E4">
        <w:rPr>
          <w:rFonts w:ascii="Arial" w:hAnsi="Arial" w:cs="Arial"/>
          <w:sz w:val="24"/>
          <w:szCs w:val="24"/>
        </w:rPr>
        <w:t>Finally, it should be noted that while no impacts are expected, further policy development work will be needed for any new actions, which could include further evidence gathering or public consultation, along with the completion of appropriate impact assessments. Many of the actions are already underway and part of multi-year delivery programmes, and their development has also been subject to public consultation and appropriate impact assessments (such as a policy-specific BRIA).</w:t>
      </w:r>
    </w:p>
    <w:bookmarkEnd w:id="25"/>
    <w:p w14:paraId="4FFDE4DC" w14:textId="77777777" w:rsidR="005927ED" w:rsidRPr="007B74E4" w:rsidRDefault="005927ED" w:rsidP="005927ED">
      <w:pPr>
        <w:rPr>
          <w:rFonts w:ascii="Arial" w:hAnsi="Arial" w:cs="Arial"/>
        </w:rPr>
      </w:pPr>
    </w:p>
    <w:p w14:paraId="5A41B293" w14:textId="77777777" w:rsidR="005927ED" w:rsidRPr="007B74E4" w:rsidRDefault="005927ED" w:rsidP="005927ED">
      <w:pPr>
        <w:pStyle w:val="Head2"/>
      </w:pPr>
      <w:bookmarkStart w:id="26" w:name="_Hlk164420305"/>
      <w:bookmarkStart w:id="27" w:name="_Toc233124033"/>
      <w:r w:rsidRPr="007B74E4">
        <w:t>Consumer Duty</w:t>
      </w:r>
      <w:bookmarkEnd w:id="26"/>
      <w:bookmarkEnd w:id="27"/>
    </w:p>
    <w:p w14:paraId="256C8566" w14:textId="77777777" w:rsidR="005927ED" w:rsidRPr="007B74E4" w:rsidRDefault="005927ED" w:rsidP="005927ED">
      <w:pPr>
        <w:rPr>
          <w:rFonts w:ascii="Arial" w:hAnsi="Arial" w:cs="Arial"/>
          <w:b/>
          <w:bCs/>
        </w:rPr>
      </w:pPr>
    </w:p>
    <w:p w14:paraId="4F466548"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What is the proposal trying to achieve? </w:t>
      </w:r>
    </w:p>
    <w:p w14:paraId="5AA86315" w14:textId="77777777" w:rsidR="005927ED" w:rsidRPr="007B74E4" w:rsidRDefault="005927ED" w:rsidP="005927ED">
      <w:pPr>
        <w:rPr>
          <w:rFonts w:ascii="Arial" w:hAnsi="Arial" w:cs="Arial"/>
          <w:sz w:val="24"/>
          <w:szCs w:val="24"/>
          <w:u w:val="single"/>
        </w:rPr>
      </w:pPr>
    </w:p>
    <w:p w14:paraId="08EDF400" w14:textId="77777777" w:rsidR="005927ED" w:rsidRPr="007B74E4" w:rsidRDefault="005927ED" w:rsidP="005927ED">
      <w:pPr>
        <w:rPr>
          <w:rFonts w:ascii="Arial" w:hAnsi="Arial" w:cs="Arial"/>
          <w:sz w:val="24"/>
          <w:szCs w:val="24"/>
        </w:rPr>
      </w:pPr>
      <w:r w:rsidRPr="007B74E4">
        <w:rPr>
          <w:rFonts w:ascii="Arial" w:hAnsi="Arial" w:cs="Arial"/>
          <w:sz w:val="24"/>
          <w:szCs w:val="24"/>
        </w:rPr>
        <w:t>The proposal is to publish FMPs for pelagic stocks as required by the 2020 Act 2020 and the JFS. FMPs set out the policies designed to restore one or more stocks of sea fish to, or maintain them at, sustainable levels or to contribute to that restoration or maintenance. Where there is not sufficient scientific evidence for MSY, plans may also consider steps to obtain scientific evidence for this. Each plan will specify the stock(s), type of fishing and the geographic area covered. Each FMP will also identify the measures that could be used to deliver its policies. Such measures may include both existing or new regulations, statutory instruments, technical measures, or non-statutory routes such as research plans, voluntary agreements, or codes of conduct. The precise mechanisms used will depend on the policies set out in the plan and, where appropriate, will be enforced by the relevant national fisheries authority. The proposed measures could be regulatory or deregulatory, and positive or negative to business</w:t>
      </w:r>
    </w:p>
    <w:p w14:paraId="2BB64F89" w14:textId="77777777" w:rsidR="005927ED" w:rsidRPr="007B74E4" w:rsidRDefault="005927ED" w:rsidP="005927ED">
      <w:pPr>
        <w:rPr>
          <w:rFonts w:ascii="Arial" w:hAnsi="Arial" w:cs="Arial"/>
          <w:sz w:val="24"/>
          <w:szCs w:val="24"/>
          <w:u w:val="single"/>
        </w:rPr>
      </w:pPr>
    </w:p>
    <w:p w14:paraId="0C1602B4"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What are the impacts on consumers? </w:t>
      </w:r>
    </w:p>
    <w:p w14:paraId="43727541" w14:textId="77777777" w:rsidR="005927ED" w:rsidRPr="007B74E4" w:rsidRDefault="005927ED" w:rsidP="005927ED">
      <w:pPr>
        <w:rPr>
          <w:rFonts w:ascii="Arial" w:hAnsi="Arial" w:cs="Arial"/>
          <w:sz w:val="24"/>
          <w:szCs w:val="24"/>
          <w:u w:val="single"/>
        </w:rPr>
      </w:pPr>
    </w:p>
    <w:p w14:paraId="19090B7E" w14:textId="77777777" w:rsidR="005927ED" w:rsidRPr="007B74E4" w:rsidRDefault="005927ED" w:rsidP="005927ED">
      <w:pPr>
        <w:rPr>
          <w:rFonts w:ascii="Arial" w:hAnsi="Arial" w:cs="Arial"/>
          <w:sz w:val="24"/>
          <w:szCs w:val="24"/>
          <w:u w:val="single"/>
        </w:rPr>
      </w:pPr>
      <w:r w:rsidRPr="007B74E4">
        <w:rPr>
          <w:rFonts w:ascii="Arial" w:hAnsi="Arial" w:cs="Arial"/>
          <w:sz w:val="24"/>
          <w:szCs w:val="24"/>
        </w:rPr>
        <w:t>Pelagic FMPs are unlikely to have any impact on consumers.</w:t>
      </w:r>
    </w:p>
    <w:p w14:paraId="0B0AA230" w14:textId="77777777" w:rsidR="005927ED" w:rsidRPr="007B74E4" w:rsidRDefault="005927ED" w:rsidP="005927ED">
      <w:pPr>
        <w:rPr>
          <w:rFonts w:ascii="Arial" w:hAnsi="Arial" w:cs="Arial"/>
          <w:sz w:val="24"/>
          <w:szCs w:val="24"/>
          <w:u w:val="single"/>
        </w:rPr>
      </w:pPr>
    </w:p>
    <w:p w14:paraId="31FCD4DE"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Is it likely that harm will be experienced by consumers as a result of this proposal? </w:t>
      </w:r>
    </w:p>
    <w:p w14:paraId="4B7F22C9" w14:textId="77777777" w:rsidR="005927ED" w:rsidRPr="007B74E4" w:rsidRDefault="005927ED" w:rsidP="005927ED">
      <w:pPr>
        <w:rPr>
          <w:rFonts w:ascii="Arial" w:hAnsi="Arial" w:cs="Arial"/>
          <w:sz w:val="24"/>
          <w:szCs w:val="24"/>
          <w:u w:val="single"/>
        </w:rPr>
      </w:pPr>
      <w:r w:rsidRPr="007B74E4">
        <w:rPr>
          <w:rFonts w:ascii="Arial" w:hAnsi="Arial" w:cs="Arial"/>
          <w:sz w:val="24"/>
          <w:szCs w:val="24"/>
        </w:rPr>
        <w:t>Consumers are unlikely to be harmed as a result of Pelagic FMPs.</w:t>
      </w:r>
    </w:p>
    <w:p w14:paraId="67666690" w14:textId="77777777" w:rsidR="005927ED" w:rsidRPr="007B74E4" w:rsidRDefault="005927ED" w:rsidP="005927ED">
      <w:pPr>
        <w:rPr>
          <w:rFonts w:ascii="Arial" w:hAnsi="Arial" w:cs="Arial"/>
          <w:sz w:val="24"/>
          <w:szCs w:val="24"/>
          <w:u w:val="single"/>
        </w:rPr>
      </w:pPr>
    </w:p>
    <w:p w14:paraId="5E799194"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What alternative proposals are there than can improve outcomes for consumers and/or reduce harm to consumers? </w:t>
      </w:r>
    </w:p>
    <w:p w14:paraId="78D2D0D9" w14:textId="77777777" w:rsidR="005927ED" w:rsidRPr="007B74E4" w:rsidRDefault="005927ED" w:rsidP="005927ED">
      <w:pPr>
        <w:rPr>
          <w:rFonts w:ascii="Arial" w:hAnsi="Arial" w:cs="Arial"/>
          <w:sz w:val="24"/>
          <w:szCs w:val="24"/>
          <w:u w:val="single"/>
        </w:rPr>
      </w:pPr>
    </w:p>
    <w:p w14:paraId="4AA31F39" w14:textId="77777777" w:rsidR="005927ED" w:rsidRPr="007B74E4" w:rsidRDefault="005927ED" w:rsidP="005927ED">
      <w:pPr>
        <w:rPr>
          <w:rFonts w:ascii="Arial" w:hAnsi="Arial" w:cs="Arial"/>
          <w:sz w:val="24"/>
          <w:szCs w:val="24"/>
          <w:u w:val="single"/>
        </w:rPr>
      </w:pPr>
      <w:r w:rsidRPr="007B74E4">
        <w:rPr>
          <w:rFonts w:ascii="Arial" w:hAnsi="Arial" w:cs="Arial"/>
          <w:sz w:val="24"/>
          <w:szCs w:val="24"/>
        </w:rPr>
        <w:t>Not applicable.</w:t>
      </w:r>
    </w:p>
    <w:p w14:paraId="6EF1BA6D" w14:textId="77777777" w:rsidR="005927ED" w:rsidRPr="007B74E4" w:rsidRDefault="005927ED" w:rsidP="005927ED">
      <w:pPr>
        <w:rPr>
          <w:rFonts w:ascii="Arial" w:hAnsi="Arial" w:cs="Arial"/>
          <w:sz w:val="24"/>
          <w:szCs w:val="24"/>
          <w:u w:val="single"/>
        </w:rPr>
      </w:pPr>
    </w:p>
    <w:p w14:paraId="4A89D6F1"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How do these alternative proposals compare to the original proposal?</w:t>
      </w:r>
    </w:p>
    <w:p w14:paraId="2507B265" w14:textId="77777777" w:rsidR="005927ED" w:rsidRPr="007B74E4" w:rsidRDefault="005927ED" w:rsidP="005927ED">
      <w:pPr>
        <w:rPr>
          <w:rFonts w:ascii="Arial" w:hAnsi="Arial" w:cs="Arial"/>
          <w:sz w:val="24"/>
          <w:szCs w:val="24"/>
        </w:rPr>
      </w:pPr>
    </w:p>
    <w:p w14:paraId="3353942D" w14:textId="77777777" w:rsidR="005927ED" w:rsidRPr="007B74E4" w:rsidRDefault="005927ED" w:rsidP="005927ED">
      <w:pPr>
        <w:rPr>
          <w:rFonts w:ascii="Arial" w:hAnsi="Arial" w:cs="Arial"/>
          <w:sz w:val="24"/>
          <w:szCs w:val="24"/>
        </w:rPr>
      </w:pPr>
      <w:r w:rsidRPr="007B74E4">
        <w:rPr>
          <w:rFonts w:ascii="Arial" w:hAnsi="Arial" w:cs="Arial"/>
          <w:sz w:val="24"/>
          <w:szCs w:val="24"/>
        </w:rPr>
        <w:t>Not applicable.</w:t>
      </w:r>
    </w:p>
    <w:p w14:paraId="286840C4" w14:textId="77777777" w:rsidR="005927ED" w:rsidRPr="007B74E4" w:rsidRDefault="005927ED" w:rsidP="005927ED">
      <w:pPr>
        <w:rPr>
          <w:rFonts w:ascii="Arial" w:hAnsi="Arial" w:cs="Arial"/>
        </w:rPr>
        <w:sectPr w:rsidR="005927ED" w:rsidRPr="007B74E4" w:rsidSect="005927ED">
          <w:pgSz w:w="11906" w:h="16838" w:code="9"/>
          <w:pgMar w:top="1440" w:right="1440" w:bottom="1440" w:left="1440" w:header="720" w:footer="720" w:gutter="0"/>
          <w:cols w:space="708"/>
          <w:docGrid w:linePitch="360"/>
        </w:sectPr>
      </w:pPr>
    </w:p>
    <w:p w14:paraId="42895E71" w14:textId="77777777" w:rsidR="005927ED" w:rsidRPr="007B74E4" w:rsidRDefault="005927ED" w:rsidP="005927ED">
      <w:pPr>
        <w:pStyle w:val="Head1"/>
      </w:pPr>
      <w:bookmarkStart w:id="28" w:name="_Toc233124034"/>
      <w:r w:rsidRPr="007B74E4">
        <w:lastRenderedPageBreak/>
        <w:t>Section 4: Additional implementation considerations</w:t>
      </w:r>
      <w:bookmarkEnd w:id="28"/>
    </w:p>
    <w:p w14:paraId="2AF8FA95" w14:textId="77777777" w:rsidR="005927ED" w:rsidRPr="007B74E4" w:rsidRDefault="005927ED" w:rsidP="005927ED">
      <w:pPr>
        <w:rPr>
          <w:rFonts w:ascii="Arial" w:hAnsi="Arial" w:cs="Arial"/>
        </w:rPr>
      </w:pPr>
    </w:p>
    <w:p w14:paraId="2CB1DE54" w14:textId="77777777" w:rsidR="005927ED" w:rsidRPr="007B74E4" w:rsidRDefault="005927ED" w:rsidP="005927ED">
      <w:pPr>
        <w:pStyle w:val="Head2"/>
      </w:pPr>
      <w:bookmarkStart w:id="29" w:name="_Toc233124035"/>
      <w:r w:rsidRPr="007B74E4">
        <w:t>Enforcement/ compliance</w:t>
      </w:r>
      <w:bookmarkEnd w:id="29"/>
    </w:p>
    <w:p w14:paraId="3EAAF8D5" w14:textId="77777777" w:rsidR="005927ED" w:rsidRPr="007B74E4" w:rsidRDefault="005927ED" w:rsidP="005927ED">
      <w:pPr>
        <w:rPr>
          <w:rFonts w:ascii="Arial" w:hAnsi="Arial" w:cs="Arial"/>
        </w:rPr>
      </w:pPr>
    </w:p>
    <w:p w14:paraId="4018E5AF"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UK fisheries authorities have a range of powers in place to enable them to effectively enforce relevant fisheries legislation. Many of the actions contained within the FMPs relate to well-established and existing regulatory and management practices, which are enforced using a robust regulatory framework and utilising a range of compliance assets.  </w:t>
      </w:r>
    </w:p>
    <w:p w14:paraId="16305068" w14:textId="77777777" w:rsidR="005927ED" w:rsidRPr="007B74E4" w:rsidRDefault="005927ED" w:rsidP="005927ED">
      <w:pPr>
        <w:rPr>
          <w:rFonts w:ascii="Arial" w:hAnsi="Arial" w:cs="Arial"/>
          <w:sz w:val="24"/>
          <w:szCs w:val="24"/>
        </w:rPr>
      </w:pPr>
    </w:p>
    <w:p w14:paraId="33FE3F09" w14:textId="77777777" w:rsidR="00661839" w:rsidRDefault="005927ED" w:rsidP="005927ED">
      <w:pPr>
        <w:rPr>
          <w:rFonts w:ascii="Arial" w:hAnsi="Arial" w:cs="Arial"/>
          <w:sz w:val="24"/>
          <w:szCs w:val="24"/>
        </w:rPr>
      </w:pPr>
      <w:r w:rsidRPr="007B74E4">
        <w:rPr>
          <w:rFonts w:ascii="Arial" w:hAnsi="Arial" w:cs="Arial"/>
          <w:sz w:val="24"/>
          <w:szCs w:val="24"/>
        </w:rPr>
        <w:t xml:space="preserve">Where actions may lead to new measures, or measures are in the process of being implemented - for example fisheries management measures in MPAs, or additional gear technical measures - the development of these specific policies will consider what, if any, additional regulatory or compliance action is needed in order to support successful implementation of the policy. </w:t>
      </w:r>
    </w:p>
    <w:p w14:paraId="0EDA90CB" w14:textId="77777777" w:rsidR="00661839" w:rsidRDefault="00661839" w:rsidP="005927ED">
      <w:pPr>
        <w:rPr>
          <w:rFonts w:ascii="Arial" w:hAnsi="Arial" w:cs="Arial"/>
          <w:sz w:val="24"/>
          <w:szCs w:val="24"/>
        </w:rPr>
      </w:pPr>
    </w:p>
    <w:p w14:paraId="6D54B49B" w14:textId="77777777" w:rsidR="005927ED" w:rsidRPr="007B74E4" w:rsidRDefault="005927ED" w:rsidP="005927ED">
      <w:pPr>
        <w:pStyle w:val="Head2"/>
      </w:pPr>
      <w:bookmarkStart w:id="30" w:name="_Toc233124036"/>
      <w:r w:rsidRPr="007B74E4">
        <w:t>UK, EU and International Regulatory Alignment and Obligations</w:t>
      </w:r>
      <w:bookmarkEnd w:id="30"/>
      <w:r w:rsidRPr="007B74E4">
        <w:t xml:space="preserve"> </w:t>
      </w:r>
    </w:p>
    <w:p w14:paraId="65A1821C" w14:textId="77777777" w:rsidR="005927ED" w:rsidRPr="007B74E4" w:rsidRDefault="005927ED" w:rsidP="005927ED">
      <w:pPr>
        <w:rPr>
          <w:rFonts w:ascii="Arial" w:hAnsi="Arial" w:cs="Arial"/>
        </w:rPr>
      </w:pPr>
    </w:p>
    <w:p w14:paraId="00096A48" w14:textId="77777777" w:rsidR="005927ED" w:rsidRPr="007B74E4" w:rsidRDefault="005927ED" w:rsidP="005927ED">
      <w:pPr>
        <w:pStyle w:val="Head3"/>
      </w:pPr>
      <w:bookmarkStart w:id="31" w:name="_Toc233124037"/>
      <w:r w:rsidRPr="007B74E4">
        <w:t>Internal Market/ Intra-UK Trade</w:t>
      </w:r>
      <w:bookmarkEnd w:id="31"/>
    </w:p>
    <w:p w14:paraId="043EF42C" w14:textId="77777777" w:rsidR="005927ED" w:rsidRPr="007B74E4" w:rsidRDefault="005927ED" w:rsidP="005927ED">
      <w:pPr>
        <w:pStyle w:val="Head3"/>
      </w:pPr>
    </w:p>
    <w:p w14:paraId="7E29EF4F" w14:textId="204D47E9" w:rsidR="005927ED" w:rsidRPr="007B74E4" w:rsidRDefault="005927ED" w:rsidP="005927ED">
      <w:pPr>
        <w:rPr>
          <w:rFonts w:ascii="Arial" w:hAnsi="Arial" w:cs="Arial"/>
          <w:sz w:val="24"/>
          <w:szCs w:val="24"/>
        </w:rPr>
      </w:pPr>
      <w:r w:rsidRPr="007B74E4">
        <w:rPr>
          <w:rFonts w:ascii="Arial" w:hAnsi="Arial" w:cs="Arial"/>
          <w:sz w:val="24"/>
          <w:szCs w:val="24"/>
        </w:rPr>
        <w:t xml:space="preserve">There is no expected impact on intra-UK trade. The FMPs will apply across relevant UK </w:t>
      </w:r>
      <w:r w:rsidR="002F1C2D" w:rsidRPr="007B74E4">
        <w:rPr>
          <w:rFonts w:ascii="Arial" w:hAnsi="Arial" w:cs="Arial"/>
          <w:sz w:val="24"/>
          <w:szCs w:val="24"/>
        </w:rPr>
        <w:t>waters and</w:t>
      </w:r>
      <w:r w:rsidRPr="007B74E4">
        <w:rPr>
          <w:rFonts w:ascii="Arial" w:hAnsi="Arial" w:cs="Arial"/>
          <w:sz w:val="24"/>
          <w:szCs w:val="24"/>
        </w:rPr>
        <w:t xml:space="preserve"> will be applied to UK (and non-UK) fishing vessels operating in these areas.  Any measures that are implemented as a result of the actions in the FMPs will be applied on a level playing field basis, however, as noted elsewhere in this document, the FMPs themselves will not implement new measures. </w:t>
      </w:r>
      <w:r w:rsidRPr="007B74E4">
        <w:rPr>
          <w:rFonts w:ascii="Arial" w:hAnsi="Arial" w:cs="Arial"/>
          <w:bCs/>
          <w:sz w:val="24"/>
          <w:szCs w:val="24"/>
        </w:rPr>
        <w:t>As such, the FMPs should not have any effect on downstream purchases or sales. FMPs have also been developed jointly with other UK fisheries administrations which have jointly agreed the policies and actions contained in these plans.</w:t>
      </w:r>
    </w:p>
    <w:p w14:paraId="29CEA174" w14:textId="77777777" w:rsidR="005927ED" w:rsidRPr="007B74E4" w:rsidRDefault="005927ED" w:rsidP="005927ED">
      <w:pPr>
        <w:rPr>
          <w:rFonts w:ascii="Arial" w:hAnsi="Arial" w:cs="Arial"/>
        </w:rPr>
      </w:pPr>
    </w:p>
    <w:p w14:paraId="7714BB39" w14:textId="77777777" w:rsidR="005927ED" w:rsidRPr="007B74E4" w:rsidRDefault="005927ED" w:rsidP="005927ED">
      <w:pPr>
        <w:pStyle w:val="Head3"/>
      </w:pPr>
      <w:bookmarkStart w:id="32" w:name="_Toc233124038"/>
      <w:r w:rsidRPr="007B74E4">
        <w:t>International Trade Implications</w:t>
      </w:r>
      <w:bookmarkEnd w:id="32"/>
    </w:p>
    <w:p w14:paraId="715F82F9" w14:textId="77777777" w:rsidR="005927ED" w:rsidRPr="007B74E4" w:rsidRDefault="005927ED" w:rsidP="005927ED">
      <w:pPr>
        <w:rPr>
          <w:rFonts w:ascii="Arial" w:hAnsi="Arial" w:cs="Arial"/>
        </w:rPr>
      </w:pPr>
    </w:p>
    <w:p w14:paraId="783081AA" w14:textId="77777777" w:rsidR="005927ED" w:rsidRPr="007B74E4" w:rsidRDefault="005927ED" w:rsidP="005927ED">
      <w:pPr>
        <w:rPr>
          <w:rFonts w:ascii="Arial" w:hAnsi="Arial" w:cs="Arial"/>
          <w:sz w:val="24"/>
          <w:szCs w:val="24"/>
        </w:rPr>
      </w:pPr>
      <w:r w:rsidRPr="007B74E4">
        <w:rPr>
          <w:rFonts w:ascii="Arial" w:hAnsi="Arial" w:cs="Arial"/>
          <w:sz w:val="24"/>
          <w:szCs w:val="24"/>
        </w:rPr>
        <w:t>There will be no impact on international trade into and out of Scotland from the implementation of pelagic FMPs. Domestic and foreign businesses will be impacted in the same way within Scottish waters.</w:t>
      </w:r>
    </w:p>
    <w:p w14:paraId="77EB56A8" w14:textId="77777777" w:rsidR="005927ED" w:rsidRPr="007B74E4" w:rsidRDefault="005927ED" w:rsidP="005927ED">
      <w:pPr>
        <w:rPr>
          <w:rFonts w:ascii="Arial" w:hAnsi="Arial" w:cs="Arial"/>
          <w:sz w:val="24"/>
          <w:szCs w:val="24"/>
        </w:rPr>
      </w:pPr>
    </w:p>
    <w:p w14:paraId="1A686DA2" w14:textId="77777777" w:rsidR="005927ED" w:rsidRPr="007B74E4" w:rsidRDefault="005927ED" w:rsidP="005927ED">
      <w:pPr>
        <w:rPr>
          <w:rFonts w:ascii="Arial" w:hAnsi="Arial" w:cs="Arial"/>
          <w:sz w:val="24"/>
          <w:szCs w:val="24"/>
        </w:rPr>
      </w:pPr>
      <w:r w:rsidRPr="007B74E4">
        <w:rPr>
          <w:rFonts w:ascii="Arial" w:hAnsi="Arial" w:cs="Arial"/>
          <w:sz w:val="24"/>
          <w:szCs w:val="24"/>
        </w:rPr>
        <w:t>There has been a small volume of pelagic fish landed by foreign vessels into the UK since 2020, with foreign vessels accounting for 1% of landings covered by pelagic FMPs in 2024.We do not foresee these FMPs having disproportionate impacts on foreign vessel landings into the UK.</w:t>
      </w:r>
    </w:p>
    <w:p w14:paraId="3342AA68" w14:textId="77777777" w:rsidR="005927ED" w:rsidRPr="007B74E4" w:rsidRDefault="005927ED" w:rsidP="005927ED">
      <w:pPr>
        <w:rPr>
          <w:rFonts w:ascii="Arial" w:hAnsi="Arial" w:cs="Arial"/>
        </w:rPr>
      </w:pPr>
    </w:p>
    <w:p w14:paraId="1F90275B" w14:textId="77777777" w:rsidR="005927ED" w:rsidRPr="007B74E4" w:rsidRDefault="005927ED" w:rsidP="005927ED">
      <w:pPr>
        <w:pStyle w:val="Head3"/>
      </w:pPr>
      <w:bookmarkStart w:id="33" w:name="_Toc233124039"/>
      <w:r w:rsidRPr="007B74E4">
        <w:t>EU Alignment consideration</w:t>
      </w:r>
      <w:bookmarkEnd w:id="33"/>
    </w:p>
    <w:p w14:paraId="7842A426" w14:textId="77777777" w:rsidR="005927ED" w:rsidRPr="007B74E4" w:rsidRDefault="005927ED" w:rsidP="005927ED">
      <w:pPr>
        <w:rPr>
          <w:rFonts w:ascii="Arial" w:hAnsi="Arial" w:cs="Arial"/>
        </w:rPr>
      </w:pPr>
    </w:p>
    <w:p w14:paraId="2FA03AB2" w14:textId="77777777" w:rsidR="005927ED" w:rsidRPr="007B74E4" w:rsidRDefault="005927ED" w:rsidP="005927ED">
      <w:pPr>
        <w:rPr>
          <w:rFonts w:ascii="Arial" w:hAnsi="Arial" w:cs="Arial"/>
          <w:sz w:val="24"/>
          <w:szCs w:val="24"/>
        </w:rPr>
      </w:pPr>
      <w:r w:rsidRPr="007B74E4">
        <w:rPr>
          <w:rFonts w:ascii="Arial" w:hAnsi="Arial" w:cs="Arial"/>
          <w:sz w:val="24"/>
          <w:szCs w:val="24"/>
        </w:rPr>
        <w:t>Pelagic FMPs are unlikely to impact on the Scottish Government’s policy to maintain alignment with the EU. We have undertaken engagement and consultation with the EU on the</w:t>
      </w:r>
      <w:r w:rsidRPr="007B74E4">
        <w:rPr>
          <w:rFonts w:ascii="Arial" w:hAnsi="Arial" w:cs="Arial"/>
        </w:rPr>
        <w:t xml:space="preserve"> </w:t>
      </w:r>
      <w:r w:rsidRPr="007B74E4">
        <w:rPr>
          <w:rFonts w:ascii="Arial" w:hAnsi="Arial" w:cs="Arial"/>
          <w:sz w:val="24"/>
          <w:szCs w:val="24"/>
        </w:rPr>
        <w:t xml:space="preserve">approach to the Scottish-led FMPs and the EU are also invited to comment on public consultation. </w:t>
      </w:r>
    </w:p>
    <w:p w14:paraId="30F87FEE" w14:textId="77777777" w:rsidR="005927ED" w:rsidRPr="007B74E4" w:rsidRDefault="005927ED" w:rsidP="005927ED">
      <w:pPr>
        <w:rPr>
          <w:rFonts w:ascii="Arial" w:hAnsi="Arial" w:cs="Arial"/>
          <w:sz w:val="24"/>
          <w:szCs w:val="24"/>
        </w:rPr>
      </w:pPr>
    </w:p>
    <w:p w14:paraId="485088F4" w14:textId="77777777" w:rsidR="005927ED" w:rsidRPr="007B74E4" w:rsidRDefault="005927ED" w:rsidP="005927ED">
      <w:pPr>
        <w:rPr>
          <w:rFonts w:ascii="Arial" w:hAnsi="Arial" w:cs="Arial"/>
          <w:sz w:val="24"/>
          <w:szCs w:val="24"/>
        </w:rPr>
      </w:pPr>
      <w:r w:rsidRPr="007B74E4">
        <w:rPr>
          <w:rFonts w:ascii="Arial" w:hAnsi="Arial" w:cs="Arial"/>
          <w:sz w:val="24"/>
          <w:szCs w:val="24"/>
        </w:rPr>
        <w:t>The FMPs recognise and value the work we do with the EU and other coastal States and place any action within the context of the international management framework that we have. There is a strong emphasis on partnership working with coastal States partners under bilateral and trilateral arrangements.</w:t>
      </w:r>
    </w:p>
    <w:p w14:paraId="54A2DB05" w14:textId="77777777" w:rsidR="005927ED" w:rsidRPr="007B74E4" w:rsidRDefault="005927ED" w:rsidP="005927ED">
      <w:pPr>
        <w:rPr>
          <w:rFonts w:ascii="Arial" w:hAnsi="Arial" w:cs="Arial"/>
          <w:sz w:val="24"/>
          <w:szCs w:val="24"/>
        </w:rPr>
      </w:pPr>
    </w:p>
    <w:p w14:paraId="06B93B9E" w14:textId="77777777" w:rsidR="005927ED" w:rsidRDefault="005927ED" w:rsidP="005927ED">
      <w:pPr>
        <w:rPr>
          <w:rFonts w:ascii="Arial" w:hAnsi="Arial" w:cs="Arial"/>
          <w:sz w:val="24"/>
          <w:szCs w:val="24"/>
        </w:rPr>
      </w:pPr>
      <w:r w:rsidRPr="007B74E4">
        <w:rPr>
          <w:rFonts w:ascii="Arial" w:hAnsi="Arial" w:cs="Arial"/>
          <w:sz w:val="24"/>
          <w:szCs w:val="24"/>
        </w:rPr>
        <w:t>The UK will continue to work in collaboration with the EU and other coastal States to ensure they are involved throughout the process and that the policies and actions contained within the FMPs reflect the shared outcomes that we have.</w:t>
      </w:r>
    </w:p>
    <w:p w14:paraId="30FFBED2" w14:textId="77777777" w:rsidR="00661839" w:rsidRDefault="00661839" w:rsidP="005927ED">
      <w:pPr>
        <w:rPr>
          <w:rFonts w:ascii="Arial" w:hAnsi="Arial" w:cs="Arial"/>
          <w:sz w:val="24"/>
          <w:szCs w:val="24"/>
        </w:rPr>
      </w:pPr>
    </w:p>
    <w:p w14:paraId="6928271E" w14:textId="77777777" w:rsidR="005927ED" w:rsidRPr="007B74E4" w:rsidRDefault="005927ED" w:rsidP="005927ED">
      <w:pPr>
        <w:pStyle w:val="Head2"/>
      </w:pPr>
      <w:bookmarkStart w:id="34" w:name="_Toc233124040"/>
      <w:r w:rsidRPr="007B74E4">
        <w:t>Legal Aid</w:t>
      </w:r>
      <w:bookmarkEnd w:id="34"/>
    </w:p>
    <w:p w14:paraId="44718A2E" w14:textId="77777777" w:rsidR="005927ED" w:rsidRPr="00661839" w:rsidRDefault="005927ED" w:rsidP="005927ED">
      <w:pPr>
        <w:pStyle w:val="Head3"/>
      </w:pPr>
    </w:p>
    <w:p w14:paraId="52CEF036"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Implementation of the pelagic FMPs is unlikely to have any legal aid implications. </w:t>
      </w:r>
    </w:p>
    <w:p w14:paraId="67E217DD" w14:textId="77777777" w:rsidR="005927ED" w:rsidRPr="007B74E4" w:rsidRDefault="005927ED" w:rsidP="005927ED">
      <w:pPr>
        <w:rPr>
          <w:rFonts w:ascii="Arial" w:hAnsi="Arial" w:cs="Arial"/>
          <w:sz w:val="24"/>
          <w:szCs w:val="24"/>
        </w:rPr>
      </w:pPr>
    </w:p>
    <w:p w14:paraId="67BA67BA" w14:textId="77777777" w:rsidR="005927ED" w:rsidRPr="007B74E4" w:rsidRDefault="005927ED" w:rsidP="005927ED">
      <w:pPr>
        <w:rPr>
          <w:rFonts w:ascii="Arial" w:hAnsi="Arial" w:cs="Arial"/>
          <w:sz w:val="24"/>
          <w:szCs w:val="24"/>
        </w:rPr>
      </w:pPr>
      <w:r w:rsidRPr="007B74E4">
        <w:rPr>
          <w:rFonts w:ascii="Arial" w:hAnsi="Arial" w:cs="Arial"/>
          <w:sz w:val="24"/>
          <w:szCs w:val="24"/>
        </w:rPr>
        <w:t>However, in most cases further policy development work will be needed for any new actions, which could include further evidence gathering or public consultation, along with the completion of appropriate impact assessments. Many of the actions are already underway and part of multi-year delivery programmes, and their development has also been subject to public consultation and appropriate impact assessments (such as BRIA).</w:t>
      </w:r>
    </w:p>
    <w:p w14:paraId="752A40BB" w14:textId="77777777" w:rsidR="005927ED" w:rsidRPr="007B74E4" w:rsidRDefault="005927ED" w:rsidP="005927ED">
      <w:pPr>
        <w:rPr>
          <w:rFonts w:ascii="Arial" w:hAnsi="Arial" w:cs="Arial"/>
        </w:rPr>
      </w:pPr>
    </w:p>
    <w:p w14:paraId="710230EE" w14:textId="77777777" w:rsidR="005927ED" w:rsidRPr="007B74E4" w:rsidRDefault="005927ED" w:rsidP="005927ED">
      <w:pPr>
        <w:pStyle w:val="Head2"/>
      </w:pPr>
      <w:bookmarkStart w:id="35" w:name="_Toc233124041"/>
      <w:r w:rsidRPr="007B74E4">
        <w:t>Digital impact</w:t>
      </w:r>
      <w:bookmarkEnd w:id="35"/>
    </w:p>
    <w:p w14:paraId="7C1C02FC" w14:textId="77777777" w:rsidR="005927ED" w:rsidRPr="007B74E4" w:rsidRDefault="005927ED" w:rsidP="005927ED">
      <w:pPr>
        <w:rPr>
          <w:rFonts w:ascii="Arial" w:hAnsi="Arial" w:cs="Arial"/>
        </w:rPr>
      </w:pPr>
    </w:p>
    <w:p w14:paraId="59AB665F" w14:textId="77777777" w:rsidR="005927ED" w:rsidRPr="007B74E4" w:rsidRDefault="005927ED" w:rsidP="005927ED">
      <w:pPr>
        <w:rPr>
          <w:rFonts w:ascii="Arial" w:hAnsi="Arial" w:cs="Arial"/>
          <w:sz w:val="24"/>
          <w:szCs w:val="24"/>
        </w:rPr>
      </w:pPr>
      <w:r w:rsidRPr="007B74E4">
        <w:rPr>
          <w:rFonts w:ascii="Arial" w:hAnsi="Arial" w:cs="Arial"/>
          <w:sz w:val="24"/>
          <w:szCs w:val="24"/>
        </w:rPr>
        <w:t>Implementation of the pelagic FMPs is unlikely to have any digital impacts.</w:t>
      </w:r>
    </w:p>
    <w:p w14:paraId="1F8328D9" w14:textId="77777777" w:rsidR="005927ED" w:rsidRPr="007B74E4" w:rsidRDefault="005927ED" w:rsidP="005927ED">
      <w:pPr>
        <w:rPr>
          <w:rFonts w:ascii="Arial" w:hAnsi="Arial" w:cs="Arial"/>
          <w:sz w:val="24"/>
          <w:szCs w:val="24"/>
        </w:rPr>
      </w:pPr>
    </w:p>
    <w:p w14:paraId="05C2DA9D" w14:textId="77777777" w:rsidR="005927ED" w:rsidRPr="007B74E4" w:rsidRDefault="005927ED" w:rsidP="005927ED">
      <w:pPr>
        <w:rPr>
          <w:rFonts w:ascii="Arial" w:hAnsi="Arial" w:cs="Arial"/>
          <w:sz w:val="24"/>
          <w:szCs w:val="24"/>
        </w:rPr>
      </w:pPr>
      <w:r w:rsidRPr="007B74E4">
        <w:rPr>
          <w:rFonts w:ascii="Arial" w:hAnsi="Arial" w:cs="Arial"/>
          <w:sz w:val="24"/>
          <w:szCs w:val="24"/>
        </w:rPr>
        <w:t>Any new actions contained within the FMPs will be taken forward following their publication and will be subject to further policy development work, including further evidence gathering or public consultation, along with the completion of appropriate impact assessments. Many of the actions are already underway and part of multi-year delivery programmes, and their development has also been subject to appropriate impact assessments (such as BRIA).</w:t>
      </w:r>
    </w:p>
    <w:p w14:paraId="1F495AFB" w14:textId="77777777" w:rsidR="005927ED" w:rsidRPr="007B74E4" w:rsidRDefault="005927ED" w:rsidP="005927ED">
      <w:pPr>
        <w:rPr>
          <w:rFonts w:ascii="Arial" w:hAnsi="Arial" w:cs="Arial"/>
        </w:rPr>
      </w:pPr>
    </w:p>
    <w:p w14:paraId="5C340D86" w14:textId="77777777" w:rsidR="005927ED" w:rsidRPr="007B74E4" w:rsidRDefault="005927ED" w:rsidP="005927ED">
      <w:pPr>
        <w:pStyle w:val="Head2"/>
      </w:pPr>
      <w:bookmarkStart w:id="36" w:name="_Toc233124042"/>
      <w:r w:rsidRPr="007B74E4">
        <w:t>Business forms</w:t>
      </w:r>
      <w:bookmarkEnd w:id="36"/>
    </w:p>
    <w:p w14:paraId="53F7AC50" w14:textId="77777777" w:rsidR="005927ED" w:rsidRPr="007B74E4" w:rsidRDefault="005927ED" w:rsidP="005927ED">
      <w:pPr>
        <w:rPr>
          <w:rFonts w:ascii="Arial" w:hAnsi="Arial" w:cs="Arial"/>
        </w:rPr>
      </w:pPr>
    </w:p>
    <w:p w14:paraId="5F9A62B6" w14:textId="77777777" w:rsidR="005927ED" w:rsidRPr="007B74E4" w:rsidRDefault="005927ED" w:rsidP="005927ED">
      <w:pPr>
        <w:rPr>
          <w:rFonts w:ascii="Arial" w:hAnsi="Arial" w:cs="Arial"/>
          <w:sz w:val="24"/>
          <w:szCs w:val="24"/>
        </w:rPr>
      </w:pPr>
      <w:r w:rsidRPr="007B74E4">
        <w:rPr>
          <w:rFonts w:ascii="Arial" w:hAnsi="Arial" w:cs="Arial"/>
          <w:sz w:val="24"/>
          <w:szCs w:val="24"/>
        </w:rPr>
        <w:t>Implementation of the Pelagic FMPs is unlikely to bring any new forms for business to complete.</w:t>
      </w:r>
    </w:p>
    <w:p w14:paraId="40C9BE4D" w14:textId="77777777" w:rsidR="005927ED" w:rsidRPr="007B74E4" w:rsidRDefault="005927ED" w:rsidP="005927ED">
      <w:pPr>
        <w:rPr>
          <w:rFonts w:ascii="Arial" w:hAnsi="Arial" w:cs="Arial"/>
          <w:sz w:val="24"/>
          <w:szCs w:val="24"/>
        </w:rPr>
      </w:pPr>
    </w:p>
    <w:p w14:paraId="1696762D" w14:textId="77777777" w:rsidR="005927ED" w:rsidRPr="007B74E4" w:rsidRDefault="005927ED" w:rsidP="005927ED">
      <w:pPr>
        <w:rPr>
          <w:rFonts w:ascii="Arial" w:hAnsi="Arial" w:cs="Arial"/>
          <w:sz w:val="24"/>
          <w:szCs w:val="24"/>
        </w:rPr>
      </w:pPr>
      <w:r w:rsidRPr="007B74E4">
        <w:rPr>
          <w:rFonts w:ascii="Arial" w:hAnsi="Arial" w:cs="Arial"/>
          <w:sz w:val="24"/>
          <w:szCs w:val="24"/>
        </w:rPr>
        <w:t>However, in most cases further policy development work will be needed for any new actions, which could include further evidence gathering or public consultation, along with the completion of appropriate impact assessments. Many of the actions are already underway and part of multi-year delivery programmes, and their development has also been subject to public consultation and appropriate impact assessments. (such as BRIA).</w:t>
      </w:r>
    </w:p>
    <w:p w14:paraId="25406CE6" w14:textId="77777777" w:rsidR="005927ED" w:rsidRPr="007B74E4" w:rsidRDefault="005927ED" w:rsidP="005927ED">
      <w:pPr>
        <w:pStyle w:val="Head1"/>
      </w:pPr>
    </w:p>
    <w:p w14:paraId="339E7126" w14:textId="77777777" w:rsidR="005927ED" w:rsidRPr="007B74E4" w:rsidRDefault="005927ED" w:rsidP="005927ED">
      <w:pPr>
        <w:pStyle w:val="Head1"/>
      </w:pPr>
      <w:bookmarkStart w:id="37" w:name="_Toc233124043"/>
      <w:r w:rsidRPr="007B74E4">
        <w:t>Section 5: Next steps and implementation</w:t>
      </w:r>
      <w:bookmarkEnd w:id="37"/>
    </w:p>
    <w:p w14:paraId="60677E1E" w14:textId="77777777" w:rsidR="005927ED" w:rsidRPr="007B74E4" w:rsidRDefault="005927ED" w:rsidP="005927ED">
      <w:pPr>
        <w:rPr>
          <w:rFonts w:ascii="Arial" w:hAnsi="Arial" w:cs="Arial"/>
        </w:rPr>
      </w:pPr>
    </w:p>
    <w:p w14:paraId="7D5E3164" w14:textId="77777777" w:rsidR="005927ED" w:rsidRPr="007B74E4" w:rsidRDefault="005927ED" w:rsidP="005927ED">
      <w:pPr>
        <w:pStyle w:val="Head2"/>
      </w:pPr>
      <w:bookmarkStart w:id="38" w:name="_Toc233124044"/>
      <w:r w:rsidRPr="007B74E4">
        <w:t>Recommendations/ preferred options</w:t>
      </w:r>
      <w:bookmarkEnd w:id="38"/>
    </w:p>
    <w:p w14:paraId="2199CA22" w14:textId="77777777" w:rsidR="005927ED" w:rsidRPr="007B74E4" w:rsidRDefault="005927ED" w:rsidP="005927ED">
      <w:pPr>
        <w:rPr>
          <w:rFonts w:ascii="Arial" w:hAnsi="Arial" w:cs="Arial"/>
        </w:rPr>
      </w:pPr>
    </w:p>
    <w:p w14:paraId="23EC371F" w14:textId="77777777" w:rsidR="005927ED" w:rsidRPr="007B74E4" w:rsidRDefault="005927ED" w:rsidP="005927ED">
      <w:pPr>
        <w:rPr>
          <w:rFonts w:ascii="Arial" w:hAnsi="Arial" w:cs="Arial"/>
          <w:sz w:val="24"/>
          <w:szCs w:val="24"/>
        </w:rPr>
      </w:pPr>
      <w:r w:rsidRPr="007B74E4">
        <w:rPr>
          <w:rFonts w:ascii="Arial" w:hAnsi="Arial" w:cs="Arial"/>
          <w:sz w:val="24"/>
          <w:szCs w:val="24"/>
        </w:rPr>
        <w:lastRenderedPageBreak/>
        <w:t>Based on the analysis, Option 1 - Publication of pelagic FMPs – is recommended.</w:t>
      </w:r>
    </w:p>
    <w:p w14:paraId="380B5FA7" w14:textId="77777777" w:rsidR="005927ED" w:rsidRPr="007B74E4" w:rsidRDefault="005927ED" w:rsidP="005927ED">
      <w:pPr>
        <w:rPr>
          <w:rFonts w:ascii="Arial" w:hAnsi="Arial" w:cs="Arial"/>
        </w:rPr>
      </w:pPr>
    </w:p>
    <w:p w14:paraId="276156C5" w14:textId="77777777" w:rsidR="005927ED" w:rsidRPr="007B74E4" w:rsidRDefault="005927ED" w:rsidP="005927ED">
      <w:pPr>
        <w:pStyle w:val="Head2"/>
      </w:pPr>
      <w:bookmarkStart w:id="39" w:name="_Toc233124045"/>
      <w:r w:rsidRPr="007B74E4">
        <w:t>Implementation considerations/ plan</w:t>
      </w:r>
      <w:bookmarkEnd w:id="39"/>
    </w:p>
    <w:p w14:paraId="5C4A99E2" w14:textId="77777777" w:rsidR="005927ED" w:rsidRPr="007B74E4" w:rsidRDefault="005927ED" w:rsidP="005927ED">
      <w:pPr>
        <w:rPr>
          <w:rFonts w:ascii="Arial" w:hAnsi="Arial" w:cs="Arial"/>
        </w:rPr>
      </w:pPr>
    </w:p>
    <w:p w14:paraId="34FE5688" w14:textId="77777777" w:rsidR="005927ED" w:rsidRPr="007B74E4" w:rsidRDefault="005927ED" w:rsidP="005927ED">
      <w:pPr>
        <w:rPr>
          <w:rFonts w:ascii="Arial" w:hAnsi="Arial" w:cs="Arial"/>
          <w:sz w:val="24"/>
          <w:szCs w:val="24"/>
        </w:rPr>
      </w:pPr>
      <w:r w:rsidRPr="007B74E4">
        <w:rPr>
          <w:rFonts w:ascii="Arial" w:hAnsi="Arial" w:cs="Arial"/>
          <w:sz w:val="24"/>
          <w:szCs w:val="24"/>
        </w:rPr>
        <w:t>Subject to the consultation, it is proposed to publish the pelagic FMPs. This complies with the statutory obligation in the 2020 Act to prepare and publish the FMPs (the FMPs having been included in the JFS which was published in November 2022 and amended in December 2024).</w:t>
      </w:r>
    </w:p>
    <w:p w14:paraId="1C4A7AAC" w14:textId="77777777" w:rsidR="005927ED" w:rsidRPr="007B74E4" w:rsidRDefault="005927ED" w:rsidP="005927ED">
      <w:pPr>
        <w:rPr>
          <w:rFonts w:ascii="Arial" w:hAnsi="Arial" w:cs="Arial"/>
          <w:sz w:val="24"/>
          <w:szCs w:val="24"/>
        </w:rPr>
      </w:pPr>
    </w:p>
    <w:p w14:paraId="7050D519"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actions contained within the FMPs will be taken forward following their publication and will be subject to further policy development work, including further evidence gathering or public consultation, along with the completion of appropriate impact assessments. However, it is important to remember that many of the actions are already underway and part of multi-year delivery programmes.  </w:t>
      </w:r>
    </w:p>
    <w:p w14:paraId="680C1E42" w14:textId="77777777" w:rsidR="005927ED" w:rsidRPr="007B74E4" w:rsidRDefault="005927ED" w:rsidP="005927ED">
      <w:pPr>
        <w:rPr>
          <w:rFonts w:ascii="Arial" w:hAnsi="Arial" w:cs="Arial"/>
          <w:sz w:val="24"/>
          <w:szCs w:val="24"/>
        </w:rPr>
      </w:pPr>
    </w:p>
    <w:p w14:paraId="33F1C5AF"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Impact assessments will be completed by the relevant national fisheries authority, in </w:t>
      </w:r>
    </w:p>
    <w:p w14:paraId="5D39A024" w14:textId="77777777" w:rsidR="005927ED" w:rsidRPr="007B74E4" w:rsidRDefault="005927ED" w:rsidP="005927ED">
      <w:pPr>
        <w:rPr>
          <w:rFonts w:ascii="Arial" w:hAnsi="Arial" w:cs="Arial"/>
          <w:sz w:val="24"/>
          <w:szCs w:val="24"/>
        </w:rPr>
      </w:pPr>
      <w:r w:rsidRPr="007B74E4">
        <w:rPr>
          <w:rFonts w:ascii="Arial" w:hAnsi="Arial" w:cs="Arial"/>
          <w:sz w:val="24"/>
          <w:szCs w:val="24"/>
        </w:rPr>
        <w:t>line with each authority's individual assessment processes. Requirements for Scotland, Wales, Northern Ireland and England are set out below.</w:t>
      </w:r>
    </w:p>
    <w:p w14:paraId="06C16F8E" w14:textId="77777777" w:rsidR="005927ED" w:rsidRPr="007B74E4" w:rsidRDefault="005927ED" w:rsidP="005927ED">
      <w:pPr>
        <w:rPr>
          <w:rFonts w:ascii="Arial" w:hAnsi="Arial" w:cs="Arial"/>
          <w:sz w:val="24"/>
          <w:szCs w:val="24"/>
        </w:rPr>
      </w:pPr>
    </w:p>
    <w:p w14:paraId="45E15255"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Scotland</w:t>
      </w:r>
    </w:p>
    <w:p w14:paraId="7020661C" w14:textId="77777777" w:rsidR="005927ED" w:rsidRPr="007B74E4" w:rsidRDefault="005927ED" w:rsidP="005927ED">
      <w:pPr>
        <w:rPr>
          <w:rFonts w:ascii="Arial" w:hAnsi="Arial" w:cs="Arial"/>
          <w:b/>
          <w:bCs/>
        </w:rPr>
      </w:pPr>
    </w:p>
    <w:p w14:paraId="25FA3B35"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When developing policies the Scottish Government looks at impact assessments, assesses which ones are relevant to the policy and plans how to complete them as part of the process. </w:t>
      </w:r>
    </w:p>
    <w:p w14:paraId="0BBE1DA0" w14:textId="77777777" w:rsidR="005927ED" w:rsidRPr="007B74E4" w:rsidRDefault="005927ED" w:rsidP="005927ED">
      <w:pPr>
        <w:rPr>
          <w:rFonts w:ascii="Arial" w:hAnsi="Arial" w:cs="Arial"/>
          <w:sz w:val="24"/>
          <w:szCs w:val="24"/>
        </w:rPr>
      </w:pPr>
    </w:p>
    <w:p w14:paraId="17832D8A"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Any new management interventions will be screened and, where necessary, an appropriate assessment will be completed to ensure any actions or measures take before being implemented. </w:t>
      </w:r>
    </w:p>
    <w:p w14:paraId="1E76B345" w14:textId="77777777" w:rsidR="005927ED" w:rsidRPr="007B74E4" w:rsidRDefault="005927ED" w:rsidP="005927ED">
      <w:pPr>
        <w:rPr>
          <w:rFonts w:ascii="Arial" w:hAnsi="Arial" w:cs="Arial"/>
          <w:sz w:val="24"/>
          <w:szCs w:val="24"/>
        </w:rPr>
      </w:pPr>
    </w:p>
    <w:p w14:paraId="4AC81104" w14:textId="77777777" w:rsidR="005927ED" w:rsidRPr="007B74E4" w:rsidRDefault="005927ED" w:rsidP="005927ED">
      <w:pPr>
        <w:rPr>
          <w:rFonts w:ascii="Arial" w:hAnsi="Arial" w:cs="Arial"/>
          <w:sz w:val="24"/>
          <w:szCs w:val="24"/>
        </w:rPr>
      </w:pPr>
      <w:r w:rsidRPr="007B74E4">
        <w:rPr>
          <w:rFonts w:ascii="Arial" w:hAnsi="Arial" w:cs="Arial"/>
          <w:sz w:val="24"/>
          <w:szCs w:val="24"/>
        </w:rPr>
        <w:t>Some of the assessments which may require to be completed include:</w:t>
      </w:r>
    </w:p>
    <w:p w14:paraId="7841B412"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 xml:space="preserve">Strategic Environmental Assessment </w:t>
      </w:r>
    </w:p>
    <w:p w14:paraId="0BA60CC8"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 xml:space="preserve">Business and regulatory impact assessment </w:t>
      </w:r>
    </w:p>
    <w:p w14:paraId="7C44FA0B"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Data Protection Impact Assessment</w:t>
      </w:r>
    </w:p>
    <w:p w14:paraId="7D396A55"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Equality Impact Assessment</w:t>
      </w:r>
    </w:p>
    <w:p w14:paraId="1EB14647"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 xml:space="preserve">Islands Communities Impact Assessment </w:t>
      </w:r>
    </w:p>
    <w:p w14:paraId="11E1CDF7" w14:textId="77777777" w:rsidR="005927ED" w:rsidRPr="007B74E4" w:rsidRDefault="005927ED" w:rsidP="005927ED">
      <w:pPr>
        <w:pStyle w:val="ListParagraph"/>
        <w:numPr>
          <w:ilvl w:val="0"/>
          <w:numId w:val="24"/>
        </w:numPr>
        <w:rPr>
          <w:rFonts w:ascii="Arial" w:hAnsi="Arial" w:cs="Arial"/>
          <w:sz w:val="24"/>
          <w:szCs w:val="24"/>
        </w:rPr>
      </w:pPr>
      <w:r w:rsidRPr="007B74E4">
        <w:rPr>
          <w:rFonts w:ascii="Arial" w:hAnsi="Arial" w:cs="Arial"/>
          <w:sz w:val="24"/>
          <w:szCs w:val="24"/>
        </w:rPr>
        <w:t>Child Rights and Wellbeing Impact Assessment (CRWIA)</w:t>
      </w:r>
    </w:p>
    <w:p w14:paraId="1EA72ABD" w14:textId="77777777" w:rsidR="005927ED" w:rsidRPr="007B74E4" w:rsidRDefault="005927ED" w:rsidP="005927ED">
      <w:pPr>
        <w:rPr>
          <w:rFonts w:ascii="Arial" w:hAnsi="Arial" w:cs="Arial"/>
          <w:b/>
          <w:bCs/>
        </w:rPr>
      </w:pPr>
    </w:p>
    <w:p w14:paraId="0E1F5C5F"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Northern Ireland</w:t>
      </w:r>
    </w:p>
    <w:p w14:paraId="64275578" w14:textId="77777777" w:rsidR="005927ED" w:rsidRPr="007B74E4" w:rsidRDefault="005927ED" w:rsidP="005927ED">
      <w:pPr>
        <w:rPr>
          <w:rFonts w:ascii="Arial" w:hAnsi="Arial" w:cs="Arial"/>
        </w:rPr>
      </w:pPr>
    </w:p>
    <w:p w14:paraId="5406B5D5"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Rural Needs Act (Northern Ireland) 2016 was established to ensure that rural communities are fairly considered in the planning and delivery of public services and policies. </w:t>
      </w:r>
    </w:p>
    <w:p w14:paraId="207A9308" w14:textId="77777777" w:rsidR="005927ED" w:rsidRPr="007B74E4" w:rsidRDefault="005927ED" w:rsidP="005927ED">
      <w:pPr>
        <w:rPr>
          <w:rFonts w:ascii="Arial" w:hAnsi="Arial" w:cs="Arial"/>
          <w:sz w:val="24"/>
          <w:szCs w:val="24"/>
        </w:rPr>
      </w:pPr>
    </w:p>
    <w:p w14:paraId="19676DE7"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It imposes a legal duty on public authorities to actively account for rural needs when designing, revising, or implementing new policies. </w:t>
      </w:r>
    </w:p>
    <w:p w14:paraId="2FF00226" w14:textId="77777777" w:rsidR="005927ED" w:rsidRPr="007B74E4" w:rsidRDefault="005927ED" w:rsidP="005927ED">
      <w:pPr>
        <w:rPr>
          <w:rFonts w:ascii="Arial" w:hAnsi="Arial" w:cs="Arial"/>
          <w:sz w:val="24"/>
          <w:szCs w:val="24"/>
        </w:rPr>
      </w:pPr>
    </w:p>
    <w:p w14:paraId="258F2D5E" w14:textId="77777777" w:rsidR="005927ED" w:rsidRPr="007B74E4" w:rsidRDefault="005927ED" w:rsidP="005927ED">
      <w:pPr>
        <w:rPr>
          <w:rFonts w:ascii="Arial" w:hAnsi="Arial" w:cs="Arial"/>
          <w:sz w:val="24"/>
          <w:szCs w:val="24"/>
        </w:rPr>
      </w:pPr>
      <w:r w:rsidRPr="007B74E4">
        <w:rPr>
          <w:rFonts w:ascii="Arial" w:hAnsi="Arial" w:cs="Arial"/>
          <w:sz w:val="24"/>
          <w:szCs w:val="24"/>
        </w:rPr>
        <w:t>This includes conducting Rural Needs Impact Assessments (RNIAs), integrating rural considerations into business cases and consultation documents, and publishing annual reports that demonstrate compliance.</w:t>
      </w:r>
    </w:p>
    <w:p w14:paraId="00CC4685" w14:textId="77777777" w:rsidR="005927ED" w:rsidRPr="007B74E4" w:rsidRDefault="005927ED" w:rsidP="005927ED">
      <w:pPr>
        <w:rPr>
          <w:rFonts w:ascii="Arial" w:hAnsi="Arial" w:cs="Arial"/>
          <w:b/>
          <w:bCs/>
          <w:sz w:val="24"/>
          <w:szCs w:val="24"/>
        </w:rPr>
      </w:pPr>
    </w:p>
    <w:p w14:paraId="37BA07DA"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lastRenderedPageBreak/>
        <w:t>England</w:t>
      </w:r>
    </w:p>
    <w:p w14:paraId="76CBFE20" w14:textId="77777777" w:rsidR="005927ED" w:rsidRPr="007B74E4" w:rsidRDefault="005927ED" w:rsidP="005927ED">
      <w:pPr>
        <w:rPr>
          <w:rFonts w:ascii="Arial" w:hAnsi="Arial" w:cs="Arial"/>
          <w:b/>
          <w:bCs/>
          <w:sz w:val="24"/>
          <w:szCs w:val="24"/>
        </w:rPr>
      </w:pPr>
    </w:p>
    <w:p w14:paraId="0AE10551"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When producing policy and determining the need for impact assessments, the Better Regulation Framework guidance is taken into consideration. Where policies require a regulatory provision such as legislation, an options assessment or final stage impact assessment is undertaken and submitted to the Regulatory Policy Committee (RPC) for independent scrutiny. Such scrutiny will be in advance of introducing any secondary legislation for measures that are above the £10 million per annum threshold for net costs to business. This analysis is not required for measures below the £10 million equivalent annual net direct costs to business (EANDCB) threshold. For measures below this threshold Defra will, if appropriate, produce de-minimis assessments. </w:t>
      </w:r>
    </w:p>
    <w:p w14:paraId="7595B948" w14:textId="77777777" w:rsidR="005927ED" w:rsidRPr="007B74E4" w:rsidRDefault="005927ED" w:rsidP="005927ED">
      <w:pPr>
        <w:rPr>
          <w:rFonts w:ascii="Arial" w:hAnsi="Arial" w:cs="Arial"/>
          <w:sz w:val="24"/>
          <w:szCs w:val="24"/>
        </w:rPr>
      </w:pPr>
    </w:p>
    <w:p w14:paraId="0BF1FC97"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Wales</w:t>
      </w:r>
    </w:p>
    <w:p w14:paraId="5D73E307" w14:textId="77777777" w:rsidR="005927ED" w:rsidRPr="007B74E4" w:rsidRDefault="005927ED" w:rsidP="005927ED">
      <w:pPr>
        <w:rPr>
          <w:rFonts w:ascii="Arial" w:hAnsi="Arial" w:cs="Arial"/>
          <w:sz w:val="24"/>
          <w:szCs w:val="24"/>
        </w:rPr>
      </w:pPr>
    </w:p>
    <w:p w14:paraId="41D969E5" w14:textId="77777777" w:rsidR="005927ED" w:rsidRPr="007B74E4" w:rsidRDefault="005927ED" w:rsidP="005927ED">
      <w:pPr>
        <w:rPr>
          <w:rFonts w:ascii="Arial" w:hAnsi="Arial" w:cs="Arial"/>
          <w:sz w:val="24"/>
          <w:szCs w:val="24"/>
        </w:rPr>
      </w:pPr>
      <w:r w:rsidRPr="007B74E4">
        <w:rPr>
          <w:rFonts w:ascii="Arial" w:hAnsi="Arial" w:cs="Arial"/>
          <w:sz w:val="24"/>
          <w:szCs w:val="24"/>
        </w:rPr>
        <w:t>The Well-being of Future Generations (Wales) Act 2015 provides a framework for Welsh Governments approach to impact assessments within the seven Well-being Goals and five ways of working.</w:t>
      </w:r>
    </w:p>
    <w:p w14:paraId="4CC054AD" w14:textId="77777777" w:rsidR="005927ED" w:rsidRPr="007B74E4" w:rsidRDefault="005927ED" w:rsidP="005927ED">
      <w:pPr>
        <w:rPr>
          <w:rFonts w:ascii="Arial" w:hAnsi="Arial" w:cs="Arial"/>
          <w:sz w:val="24"/>
          <w:szCs w:val="24"/>
        </w:rPr>
      </w:pPr>
    </w:p>
    <w:p w14:paraId="097D4C90" w14:textId="77777777" w:rsidR="005927ED" w:rsidRPr="007B74E4" w:rsidRDefault="005927ED" w:rsidP="005927ED">
      <w:pPr>
        <w:rPr>
          <w:rFonts w:ascii="Arial" w:hAnsi="Arial" w:cs="Arial"/>
          <w:sz w:val="24"/>
          <w:szCs w:val="24"/>
        </w:rPr>
      </w:pPr>
      <w:r w:rsidRPr="007B74E4">
        <w:rPr>
          <w:rFonts w:ascii="Arial" w:hAnsi="Arial" w:cs="Arial"/>
          <w:sz w:val="24"/>
          <w:szCs w:val="24"/>
        </w:rPr>
        <w:t>Welsh Government will carry out any necessary impact assessments before any measures are implemented. An Integrated Impact Assessment (IIA) will be developed to help Welsh Government undertake a comprehensive assessment ofthe impact of a proposed action, with a view to maximising economic, social, cultural and environmental well-being, not just now, but for the long term. The Environment (Wales) Act 2016 also sets out national priorities which must be considered as part of the IIA process when setting new policy.</w:t>
      </w:r>
    </w:p>
    <w:p w14:paraId="26EEF061" w14:textId="77777777" w:rsidR="005927ED" w:rsidRPr="007B74E4" w:rsidRDefault="005927ED" w:rsidP="005927ED">
      <w:pPr>
        <w:rPr>
          <w:rFonts w:ascii="Arial" w:hAnsi="Arial" w:cs="Arial"/>
          <w:sz w:val="24"/>
          <w:szCs w:val="24"/>
        </w:rPr>
      </w:pPr>
    </w:p>
    <w:p w14:paraId="37887854" w14:textId="77777777" w:rsidR="005927ED" w:rsidRPr="007B74E4" w:rsidRDefault="005927ED" w:rsidP="005927ED">
      <w:pPr>
        <w:rPr>
          <w:rFonts w:ascii="Arial" w:hAnsi="Arial" w:cs="Arial"/>
          <w:sz w:val="24"/>
          <w:szCs w:val="24"/>
        </w:rPr>
      </w:pPr>
      <w:r w:rsidRPr="007B74E4">
        <w:rPr>
          <w:rFonts w:ascii="Arial" w:hAnsi="Arial" w:cs="Arial"/>
          <w:sz w:val="24"/>
          <w:szCs w:val="24"/>
        </w:rPr>
        <w:t>If new measures result in the introduction of subordinate legislation, Welsh Government will ensure compliance with requirements of the Welsh Ministers’ Regulatory Impact Assessment Code for Subordinate Legislation when they are implemented.</w:t>
      </w:r>
    </w:p>
    <w:p w14:paraId="097D061C" w14:textId="77777777" w:rsidR="005927ED" w:rsidRPr="007B74E4" w:rsidRDefault="005927ED" w:rsidP="005927ED">
      <w:pPr>
        <w:rPr>
          <w:rFonts w:ascii="Arial" w:hAnsi="Arial" w:cs="Arial"/>
          <w:sz w:val="24"/>
          <w:szCs w:val="24"/>
        </w:rPr>
      </w:pPr>
    </w:p>
    <w:p w14:paraId="1C60209D" w14:textId="77777777" w:rsidR="005927ED" w:rsidRPr="007B74E4" w:rsidRDefault="005927ED" w:rsidP="005927ED">
      <w:pPr>
        <w:rPr>
          <w:rFonts w:ascii="Arial" w:hAnsi="Arial" w:cs="Arial"/>
          <w:sz w:val="24"/>
          <w:szCs w:val="24"/>
        </w:rPr>
      </w:pPr>
    </w:p>
    <w:p w14:paraId="2ECFE29B" w14:textId="77777777" w:rsidR="005927ED" w:rsidRPr="007B74E4" w:rsidRDefault="005927ED" w:rsidP="005927ED">
      <w:pPr>
        <w:pStyle w:val="Head2"/>
      </w:pPr>
      <w:bookmarkStart w:id="40" w:name="_Toc233124046"/>
      <w:r w:rsidRPr="007B74E4">
        <w:t>Post implementation review</w:t>
      </w:r>
      <w:bookmarkEnd w:id="40"/>
    </w:p>
    <w:p w14:paraId="7835174B" w14:textId="77777777" w:rsidR="005927ED" w:rsidRPr="007B74E4" w:rsidRDefault="005927ED" w:rsidP="005927ED">
      <w:pPr>
        <w:rPr>
          <w:rFonts w:ascii="Arial" w:hAnsi="Arial" w:cs="Arial"/>
        </w:rPr>
      </w:pPr>
    </w:p>
    <w:p w14:paraId="27CB80EC" w14:textId="77777777" w:rsidR="005927ED" w:rsidRPr="007B74E4" w:rsidRDefault="005927ED" w:rsidP="005927ED">
      <w:pPr>
        <w:rPr>
          <w:rFonts w:ascii="Arial" w:hAnsi="Arial" w:cs="Arial"/>
          <w:sz w:val="24"/>
          <w:szCs w:val="24"/>
        </w:rPr>
      </w:pPr>
      <w:r w:rsidRPr="007B74E4">
        <w:rPr>
          <w:rFonts w:ascii="Arial" w:hAnsi="Arial" w:cs="Arial"/>
          <w:sz w:val="24"/>
          <w:szCs w:val="24"/>
        </w:rPr>
        <w:t>FMPs contain a number of policies and actions intended to ensure that stocks covered by the FMPs are fished sustainably with respect to an MSY approach and also to support improvements in the overall management approach.</w:t>
      </w:r>
    </w:p>
    <w:p w14:paraId="451DAE22" w14:textId="77777777" w:rsidR="005927ED" w:rsidRPr="007B74E4" w:rsidRDefault="005927ED" w:rsidP="005927ED">
      <w:pPr>
        <w:rPr>
          <w:rFonts w:ascii="Arial" w:hAnsi="Arial" w:cs="Arial"/>
          <w:sz w:val="24"/>
          <w:szCs w:val="24"/>
        </w:rPr>
      </w:pPr>
    </w:p>
    <w:p w14:paraId="1EAE245F" w14:textId="77777777" w:rsidR="005927ED" w:rsidRPr="007B74E4" w:rsidRDefault="005927ED" w:rsidP="005927ED">
      <w:pPr>
        <w:rPr>
          <w:rFonts w:ascii="Arial" w:hAnsi="Arial" w:cs="Arial"/>
          <w:sz w:val="24"/>
          <w:szCs w:val="24"/>
        </w:rPr>
      </w:pPr>
      <w:r w:rsidRPr="007B74E4">
        <w:rPr>
          <w:rFonts w:ascii="Arial" w:hAnsi="Arial" w:cs="Arial"/>
          <w:sz w:val="24"/>
          <w:szCs w:val="24"/>
        </w:rPr>
        <w:t>ICES stock assessments assess how fish populations have changed over time and the effect fishing pressure is having on stocks. Key biological indicators are provided as reference points, which give indication towards their MSY, fishing pressure and spawning stock biomass. Fisheries policy authorities undertake a review of ICES stock assessments on an annual basis, to determine how stocks are performing against these reference points, and any other reference points provided within the advice.</w:t>
      </w:r>
    </w:p>
    <w:p w14:paraId="19B61812" w14:textId="77777777" w:rsidR="005927ED" w:rsidRPr="007B74E4" w:rsidRDefault="005927ED" w:rsidP="005927ED">
      <w:pPr>
        <w:rPr>
          <w:rFonts w:ascii="Arial" w:hAnsi="Arial" w:cs="Arial"/>
          <w:sz w:val="24"/>
          <w:szCs w:val="24"/>
        </w:rPr>
      </w:pPr>
    </w:p>
    <w:p w14:paraId="79C62FEB"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The health of the stock will continue to be reviewed in this way as part of the ongoing negotiations cycle, utilising the ICES stock assessment process, and will also be reviewed on a more in-depth basis as part of the ICES benchmark process (which </w:t>
      </w:r>
      <w:r w:rsidRPr="007B74E4">
        <w:rPr>
          <w:rFonts w:ascii="Arial" w:hAnsi="Arial" w:cs="Arial"/>
          <w:sz w:val="24"/>
          <w:szCs w:val="24"/>
        </w:rPr>
        <w:lastRenderedPageBreak/>
        <w:t xml:space="preserve">varies from stock to stock). The health of the stock will be the indicator used to monitor the effectiveness of the FMPs in managing the pelagic stocks sustainably. </w:t>
      </w:r>
    </w:p>
    <w:p w14:paraId="43295237" w14:textId="77777777" w:rsidR="005927ED" w:rsidRPr="007B74E4" w:rsidRDefault="005927ED" w:rsidP="005927ED">
      <w:pPr>
        <w:rPr>
          <w:rFonts w:ascii="Arial" w:hAnsi="Arial" w:cs="Arial"/>
          <w:sz w:val="24"/>
          <w:szCs w:val="24"/>
        </w:rPr>
      </w:pPr>
    </w:p>
    <w:p w14:paraId="2343EDF6" w14:textId="77777777" w:rsidR="005927ED" w:rsidRPr="007B74E4" w:rsidRDefault="005927ED" w:rsidP="005927ED">
      <w:pPr>
        <w:rPr>
          <w:rFonts w:ascii="Arial" w:hAnsi="Arial" w:cs="Arial"/>
          <w:sz w:val="24"/>
          <w:szCs w:val="24"/>
        </w:rPr>
      </w:pPr>
      <w:r w:rsidRPr="007B74E4">
        <w:rPr>
          <w:rFonts w:ascii="Arial" w:hAnsi="Arial" w:cs="Arial"/>
          <w:sz w:val="24"/>
          <w:szCs w:val="24"/>
        </w:rPr>
        <w:t>The policies and actions within each FMP will be reviewed as part of the three year review cycle for the JFS. In addition, as set out within the 2020 Act and the JFS, FMPs will be reviewed at least every six years. An earlier review may be triggered in light of a change to relevant evidence, international obligations, or wider events. The decision to review earlier will be taken by the fisheries policy authorities. The review of the FMPs will include a report on individual policies and actions and whether they have been a) implemented and b) any known interactions between the actions and health of the stock.</w:t>
      </w:r>
    </w:p>
    <w:p w14:paraId="000CB204" w14:textId="77777777" w:rsidR="005927ED" w:rsidRPr="007B74E4" w:rsidRDefault="005927ED" w:rsidP="005927ED">
      <w:pPr>
        <w:rPr>
          <w:rFonts w:ascii="Arial" w:hAnsi="Arial" w:cs="Arial"/>
          <w:sz w:val="24"/>
          <w:szCs w:val="24"/>
        </w:rPr>
      </w:pPr>
    </w:p>
    <w:p w14:paraId="0215E70C" w14:textId="77777777" w:rsidR="005927ED" w:rsidRPr="007B74E4" w:rsidRDefault="005927ED" w:rsidP="005927ED">
      <w:pPr>
        <w:rPr>
          <w:rFonts w:ascii="Arial" w:hAnsi="Arial" w:cs="Arial"/>
        </w:rPr>
      </w:pPr>
    </w:p>
    <w:p w14:paraId="1D4D758E" w14:textId="77777777" w:rsidR="005927ED" w:rsidRPr="007B74E4" w:rsidRDefault="005927ED" w:rsidP="005927ED">
      <w:pPr>
        <w:rPr>
          <w:rFonts w:ascii="Arial" w:hAnsi="Arial" w:cs="Arial"/>
        </w:rPr>
      </w:pPr>
    </w:p>
    <w:p w14:paraId="3FA38094" w14:textId="77777777" w:rsidR="005927ED" w:rsidRPr="007B74E4" w:rsidRDefault="005927ED" w:rsidP="005927ED">
      <w:pPr>
        <w:rPr>
          <w:rFonts w:ascii="Arial" w:hAnsi="Arial" w:cs="Arial"/>
        </w:rPr>
        <w:sectPr w:rsidR="005927ED" w:rsidRPr="007B74E4" w:rsidSect="005927ED">
          <w:pgSz w:w="11906" w:h="16838" w:code="9"/>
          <w:pgMar w:top="1440" w:right="1440" w:bottom="1440" w:left="1440" w:header="720" w:footer="720" w:gutter="0"/>
          <w:cols w:space="708"/>
          <w:docGrid w:linePitch="360"/>
        </w:sectPr>
      </w:pPr>
    </w:p>
    <w:p w14:paraId="7E8873AC" w14:textId="77777777" w:rsidR="005927ED" w:rsidRPr="007B74E4" w:rsidRDefault="005927ED" w:rsidP="005927ED">
      <w:pPr>
        <w:pStyle w:val="Head1"/>
      </w:pPr>
      <w:bookmarkStart w:id="41" w:name="_Toc233124047"/>
      <w:r w:rsidRPr="007B74E4">
        <w:lastRenderedPageBreak/>
        <w:t>Declaration</w:t>
      </w:r>
      <w:bookmarkEnd w:id="41"/>
    </w:p>
    <w:p w14:paraId="53CA7961" w14:textId="77777777" w:rsidR="005927ED" w:rsidRPr="007B74E4" w:rsidRDefault="005927ED" w:rsidP="005927ED">
      <w:pPr>
        <w:rPr>
          <w:rFonts w:ascii="Arial" w:hAnsi="Arial" w:cs="Arial"/>
          <w:b/>
          <w:bCs/>
        </w:rPr>
      </w:pPr>
    </w:p>
    <w:p w14:paraId="199F6DA9" w14:textId="77777777" w:rsidR="005927ED" w:rsidRPr="007B74E4" w:rsidRDefault="005927ED" w:rsidP="005927ED">
      <w:pPr>
        <w:rPr>
          <w:rFonts w:ascii="Arial" w:hAnsi="Arial" w:cs="Arial"/>
          <w:b/>
          <w:bCs/>
          <w:sz w:val="24"/>
          <w:szCs w:val="24"/>
        </w:rPr>
      </w:pPr>
      <w:r w:rsidRPr="007B74E4">
        <w:rPr>
          <w:rFonts w:ascii="Arial" w:hAnsi="Arial" w:cs="Arial"/>
          <w:b/>
          <w:bCs/>
          <w:sz w:val="24"/>
          <w:szCs w:val="24"/>
        </w:rPr>
        <w:t xml:space="preserve">Sign-off for Partial BRIAs: </w:t>
      </w:r>
    </w:p>
    <w:p w14:paraId="143EA3B2" w14:textId="77777777" w:rsidR="005927ED" w:rsidRPr="007B74E4" w:rsidRDefault="005927ED" w:rsidP="005927ED">
      <w:pPr>
        <w:rPr>
          <w:rFonts w:ascii="Arial" w:hAnsi="Arial" w:cs="Arial"/>
          <w:sz w:val="24"/>
          <w:szCs w:val="24"/>
        </w:rPr>
      </w:pPr>
    </w:p>
    <w:p w14:paraId="421A9917" w14:textId="77777777" w:rsidR="005927ED" w:rsidRPr="007B74E4" w:rsidRDefault="005927ED" w:rsidP="005927ED">
      <w:pPr>
        <w:rPr>
          <w:rFonts w:ascii="Arial" w:hAnsi="Arial" w:cs="Arial"/>
          <w:sz w:val="24"/>
          <w:szCs w:val="24"/>
        </w:rPr>
      </w:pPr>
      <w:r w:rsidRPr="007B74E4">
        <w:rPr>
          <w:rFonts w:ascii="Arial" w:hAnsi="Arial" w:cs="Arial"/>
          <w:sz w:val="24"/>
          <w:szCs w:val="24"/>
        </w:rPr>
        <w:t>I have read the Business and Regulatory Impact Assessment and I am satisfied that, given the available evidence, it represents a reasonable view of the likely costs, benefits and impact of the leading options. I am satisfied that business impact has been assessed with the support of businesses in Scotland.</w:t>
      </w:r>
    </w:p>
    <w:p w14:paraId="116FCE64" w14:textId="77777777" w:rsidR="005927ED" w:rsidRPr="007B74E4" w:rsidRDefault="005927ED" w:rsidP="005927ED">
      <w:pPr>
        <w:rPr>
          <w:rFonts w:ascii="Arial" w:hAnsi="Arial" w:cs="Arial"/>
          <w:sz w:val="24"/>
          <w:szCs w:val="24"/>
        </w:rPr>
      </w:pPr>
    </w:p>
    <w:p w14:paraId="094D8D4D" w14:textId="77777777" w:rsidR="005927ED" w:rsidRPr="007B74E4" w:rsidRDefault="005927ED" w:rsidP="005927ED">
      <w:pPr>
        <w:rPr>
          <w:rFonts w:ascii="Arial" w:hAnsi="Arial" w:cs="Arial"/>
          <w:sz w:val="24"/>
          <w:szCs w:val="24"/>
        </w:rPr>
      </w:pPr>
      <w:r w:rsidRPr="007B74E4">
        <w:rPr>
          <w:rFonts w:ascii="Arial" w:hAnsi="Arial" w:cs="Arial"/>
          <w:sz w:val="24"/>
          <w:szCs w:val="24"/>
        </w:rPr>
        <w:t xml:space="preserve">I am also satisfied that officials have considered the impact on consumers as required by the </w:t>
      </w:r>
      <w:hyperlink r:id="rId18" w:history="1">
        <w:r w:rsidRPr="007B74E4">
          <w:rPr>
            <w:rStyle w:val="Hyperlink"/>
            <w:rFonts w:ascii="Arial" w:hAnsi="Arial" w:cs="Arial"/>
            <w:sz w:val="24"/>
            <w:szCs w:val="24"/>
          </w:rPr>
          <w:t>Consumer Scotland Act 2020</w:t>
        </w:r>
      </w:hyperlink>
      <w:r w:rsidRPr="007B74E4">
        <w:rPr>
          <w:rFonts w:ascii="Arial" w:hAnsi="Arial" w:cs="Arial"/>
          <w:color w:val="538135" w:themeColor="accent6" w:themeShade="BF"/>
          <w:sz w:val="24"/>
          <w:szCs w:val="24"/>
        </w:rPr>
        <w:t xml:space="preserve"> </w:t>
      </w:r>
      <w:r w:rsidRPr="007B74E4">
        <w:rPr>
          <w:rFonts w:ascii="Arial" w:hAnsi="Arial" w:cs="Arial"/>
          <w:sz w:val="24"/>
          <w:szCs w:val="24"/>
        </w:rPr>
        <w:t>in completion of the Consumer Duty section of this BRIA.</w:t>
      </w:r>
    </w:p>
    <w:p w14:paraId="7F327492" w14:textId="77777777" w:rsidR="005927ED" w:rsidRPr="007B74E4" w:rsidRDefault="005927ED" w:rsidP="005927ED">
      <w:pPr>
        <w:rPr>
          <w:rFonts w:ascii="Arial" w:hAnsi="Arial" w:cs="Arial"/>
          <w:sz w:val="24"/>
          <w:szCs w:val="24"/>
        </w:rPr>
      </w:pPr>
    </w:p>
    <w:p w14:paraId="4DAF0EAF" w14:textId="77777777" w:rsidR="005927ED" w:rsidRPr="007B74E4" w:rsidRDefault="005927ED" w:rsidP="005927ED">
      <w:pPr>
        <w:rPr>
          <w:rFonts w:ascii="Arial" w:hAnsi="Arial" w:cs="Arial"/>
        </w:rPr>
      </w:pPr>
    </w:p>
    <w:p w14:paraId="4FD31CF9" w14:textId="77777777" w:rsidR="005927ED" w:rsidRPr="007B74E4" w:rsidRDefault="005927ED" w:rsidP="005927ED">
      <w:pPr>
        <w:rPr>
          <w:rFonts w:ascii="Arial" w:hAnsi="Arial" w:cs="Arial"/>
        </w:rPr>
      </w:pPr>
    </w:p>
    <w:p w14:paraId="710B6EA5" w14:textId="59BD09F4" w:rsidR="005927ED" w:rsidRPr="007B74E4" w:rsidRDefault="005927ED" w:rsidP="005927ED">
      <w:pPr>
        <w:rPr>
          <w:rFonts w:ascii="Arial" w:hAnsi="Arial" w:cs="Arial"/>
          <w:sz w:val="24"/>
          <w:szCs w:val="24"/>
        </w:rPr>
      </w:pPr>
      <w:r w:rsidRPr="007B74E4">
        <w:rPr>
          <w:rFonts w:ascii="Arial" w:hAnsi="Arial" w:cs="Arial"/>
          <w:sz w:val="24"/>
          <w:szCs w:val="24"/>
        </w:rPr>
        <w:t>Signed:</w:t>
      </w:r>
      <w:r w:rsidR="00740512">
        <w:rPr>
          <w:rFonts w:ascii="Arial" w:hAnsi="Arial" w:cs="Arial"/>
          <w:sz w:val="24"/>
          <w:szCs w:val="24"/>
        </w:rPr>
        <w:t xml:space="preserve"> </w:t>
      </w:r>
      <w:r w:rsidR="00740512" w:rsidRPr="00740512">
        <w:rPr>
          <w:rFonts w:ascii="Arial" w:hAnsi="Arial" w:cs="Arial"/>
          <w:sz w:val="24"/>
          <w:szCs w:val="24"/>
        </w:rPr>
        <w:t>Minister for Agriculture, Marine and the Islands</w:t>
      </w:r>
      <w:r w:rsidR="00740512">
        <w:rPr>
          <w:rFonts w:ascii="Arial" w:hAnsi="Arial" w:cs="Arial"/>
          <w:sz w:val="24"/>
          <w:szCs w:val="24"/>
        </w:rPr>
        <w:t>, Jim Fairlie</w:t>
      </w:r>
      <w:r w:rsidR="003E018B">
        <w:rPr>
          <w:rFonts w:ascii="Arial" w:hAnsi="Arial" w:cs="Arial"/>
          <w:sz w:val="24"/>
          <w:szCs w:val="24"/>
        </w:rPr>
        <w:t xml:space="preserve"> MSP</w:t>
      </w:r>
    </w:p>
    <w:p w14:paraId="5EA0A940" w14:textId="77777777" w:rsidR="005927ED" w:rsidRPr="007B74E4" w:rsidRDefault="005927ED" w:rsidP="005927ED">
      <w:pPr>
        <w:rPr>
          <w:rFonts w:ascii="Arial" w:hAnsi="Arial" w:cs="Arial"/>
          <w:sz w:val="24"/>
          <w:szCs w:val="24"/>
        </w:rPr>
      </w:pPr>
    </w:p>
    <w:p w14:paraId="5489D916" w14:textId="10116D1D" w:rsidR="005927ED" w:rsidRPr="007B74E4" w:rsidRDefault="005927ED" w:rsidP="005927ED">
      <w:pPr>
        <w:rPr>
          <w:rFonts w:ascii="Arial" w:hAnsi="Arial" w:cs="Arial"/>
          <w:sz w:val="24"/>
          <w:szCs w:val="24"/>
        </w:rPr>
      </w:pPr>
      <w:r w:rsidRPr="007B74E4">
        <w:rPr>
          <w:rFonts w:ascii="Arial" w:hAnsi="Arial" w:cs="Arial"/>
          <w:sz w:val="24"/>
          <w:szCs w:val="24"/>
        </w:rPr>
        <w:t xml:space="preserve">Date: </w:t>
      </w:r>
      <w:r w:rsidR="003E018B">
        <w:rPr>
          <w:rFonts w:ascii="Arial" w:hAnsi="Arial" w:cs="Arial"/>
          <w:sz w:val="24"/>
          <w:szCs w:val="24"/>
        </w:rPr>
        <w:t>20 July 2026</w:t>
      </w:r>
    </w:p>
    <w:p w14:paraId="4759FCDB" w14:textId="77777777" w:rsidR="005927ED" w:rsidRPr="007B74E4" w:rsidRDefault="005927ED" w:rsidP="005927ED">
      <w:pPr>
        <w:rPr>
          <w:rFonts w:ascii="Arial" w:hAnsi="Arial" w:cs="Arial"/>
          <w:sz w:val="24"/>
          <w:szCs w:val="24"/>
        </w:rPr>
      </w:pPr>
    </w:p>
    <w:p w14:paraId="62462B8F" w14:textId="2DF5533F" w:rsidR="005927ED" w:rsidRPr="007B74E4" w:rsidRDefault="005927ED" w:rsidP="005927ED">
      <w:pPr>
        <w:rPr>
          <w:rFonts w:ascii="Arial" w:hAnsi="Arial" w:cs="Arial"/>
          <w:sz w:val="24"/>
          <w:szCs w:val="24"/>
        </w:rPr>
      </w:pPr>
      <w:r w:rsidRPr="007B74E4">
        <w:rPr>
          <w:rFonts w:ascii="Arial" w:hAnsi="Arial" w:cs="Arial"/>
          <w:sz w:val="24"/>
          <w:szCs w:val="24"/>
        </w:rPr>
        <w:t xml:space="preserve">Minister's name: </w:t>
      </w:r>
      <w:r w:rsidR="00B46064">
        <w:rPr>
          <w:rFonts w:ascii="Arial" w:hAnsi="Arial" w:cs="Arial"/>
          <w:sz w:val="24"/>
          <w:szCs w:val="24"/>
        </w:rPr>
        <w:t>Jim Fairlie</w:t>
      </w:r>
    </w:p>
    <w:p w14:paraId="3901EA29" w14:textId="77777777" w:rsidR="005927ED" w:rsidRPr="007B74E4" w:rsidRDefault="005927ED" w:rsidP="005927ED">
      <w:pPr>
        <w:rPr>
          <w:rFonts w:ascii="Arial" w:hAnsi="Arial" w:cs="Arial"/>
          <w:sz w:val="24"/>
          <w:szCs w:val="24"/>
        </w:rPr>
      </w:pPr>
    </w:p>
    <w:p w14:paraId="1980FF3D" w14:textId="69775D40" w:rsidR="005927ED" w:rsidRPr="007B74E4" w:rsidRDefault="005927ED" w:rsidP="005927ED">
      <w:pPr>
        <w:rPr>
          <w:rFonts w:ascii="Arial" w:hAnsi="Arial" w:cs="Arial"/>
          <w:sz w:val="24"/>
          <w:szCs w:val="24"/>
        </w:rPr>
      </w:pPr>
      <w:r w:rsidRPr="007B74E4">
        <w:rPr>
          <w:rFonts w:ascii="Arial" w:hAnsi="Arial" w:cs="Arial"/>
          <w:sz w:val="24"/>
          <w:szCs w:val="24"/>
        </w:rPr>
        <w:t xml:space="preserve">Minister's title: </w:t>
      </w:r>
      <w:r w:rsidR="00B46064" w:rsidRPr="00B46064">
        <w:rPr>
          <w:rFonts w:ascii="Arial" w:hAnsi="Arial" w:cs="Arial"/>
          <w:sz w:val="24"/>
          <w:szCs w:val="24"/>
        </w:rPr>
        <w:t>Minister for Agriculture, Marine and the Islands</w:t>
      </w:r>
    </w:p>
    <w:p w14:paraId="04CC808F" w14:textId="77777777" w:rsidR="005927ED" w:rsidRPr="007B74E4" w:rsidRDefault="005927ED" w:rsidP="005927ED">
      <w:pPr>
        <w:rPr>
          <w:rFonts w:ascii="Arial" w:hAnsi="Arial" w:cs="Arial"/>
          <w:sz w:val="24"/>
          <w:szCs w:val="24"/>
        </w:rPr>
      </w:pPr>
    </w:p>
    <w:p w14:paraId="346CA6AC" w14:textId="77777777" w:rsidR="005927ED" w:rsidRPr="007B74E4" w:rsidRDefault="005927ED" w:rsidP="005927ED">
      <w:pPr>
        <w:rPr>
          <w:rFonts w:ascii="Arial" w:hAnsi="Arial" w:cs="Arial"/>
          <w:bCs/>
          <w:sz w:val="24"/>
          <w:szCs w:val="24"/>
          <w:u w:val="single"/>
        </w:rPr>
      </w:pPr>
      <w:r w:rsidRPr="007B74E4">
        <w:rPr>
          <w:rFonts w:ascii="Arial" w:hAnsi="Arial" w:cs="Arial"/>
          <w:sz w:val="24"/>
          <w:szCs w:val="24"/>
        </w:rPr>
        <w:t xml:space="preserve">Scottish Government Contact point: </w:t>
      </w:r>
      <w:hyperlink r:id="rId19" w:history="1">
        <w:r w:rsidRPr="007B74E4">
          <w:rPr>
            <w:rStyle w:val="Hyperlink"/>
            <w:rFonts w:ascii="Arial" w:hAnsi="Arial" w:cs="Arial"/>
            <w:sz w:val="24"/>
            <w:szCs w:val="24"/>
          </w:rPr>
          <w:t>FMPs@gov.scot</w:t>
        </w:r>
      </w:hyperlink>
      <w:r w:rsidRPr="007B74E4">
        <w:rPr>
          <w:rFonts w:ascii="Arial" w:hAnsi="Arial" w:cs="Arial"/>
          <w:sz w:val="24"/>
          <w:szCs w:val="24"/>
        </w:rPr>
        <w:t xml:space="preserve"> </w:t>
      </w:r>
    </w:p>
    <w:p w14:paraId="592E97DD" w14:textId="0EF5DCF2" w:rsidR="00D2414B" w:rsidRPr="007B74E4" w:rsidRDefault="00D2414B" w:rsidP="005927ED">
      <w:pPr>
        <w:rPr>
          <w:rFonts w:ascii="Arial" w:hAnsi="Arial" w:cs="Arial"/>
        </w:rPr>
      </w:pPr>
    </w:p>
    <w:sectPr w:rsidR="00D2414B" w:rsidRPr="007B74E4" w:rsidSect="0042243F">
      <w:footerReference w:type="default" r:id="rId2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4D35" w14:textId="77777777" w:rsidR="000B211D" w:rsidRDefault="000B211D" w:rsidP="007D4D73">
      <w:r>
        <w:separator/>
      </w:r>
    </w:p>
  </w:endnote>
  <w:endnote w:type="continuationSeparator" w:id="0">
    <w:p w14:paraId="4FC0FED6" w14:textId="77777777" w:rsidR="000B211D" w:rsidRDefault="000B211D" w:rsidP="007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853859"/>
      <w:docPartObj>
        <w:docPartGallery w:val="Page Numbers (Bottom of Page)"/>
        <w:docPartUnique/>
      </w:docPartObj>
    </w:sdtPr>
    <w:sdtEndPr>
      <w:rPr>
        <w:b w:val="0"/>
        <w:sz w:val="24"/>
        <w:szCs w:val="24"/>
      </w:rPr>
    </w:sdtEndPr>
    <w:sdtContent>
      <w:p w14:paraId="3EB4986B" w14:textId="77777777" w:rsidR="005927ED" w:rsidRPr="00277D1F" w:rsidRDefault="005927ED">
        <w:pPr>
          <w:pStyle w:val="Footer"/>
          <w:jc w:val="right"/>
          <w:rPr>
            <w:b w:val="0"/>
            <w:bCs/>
            <w:sz w:val="24"/>
            <w:szCs w:val="24"/>
          </w:rPr>
        </w:pPr>
        <w:r w:rsidRPr="00277D1F">
          <w:rPr>
            <w:b w:val="0"/>
            <w:bCs/>
            <w:sz w:val="24"/>
            <w:szCs w:val="24"/>
          </w:rPr>
          <w:fldChar w:fldCharType="begin"/>
        </w:r>
        <w:r w:rsidRPr="00277D1F">
          <w:rPr>
            <w:b w:val="0"/>
            <w:bCs/>
            <w:sz w:val="24"/>
            <w:szCs w:val="24"/>
          </w:rPr>
          <w:instrText>PAGE   \* MERGEFORMAT</w:instrText>
        </w:r>
        <w:r w:rsidRPr="00277D1F">
          <w:rPr>
            <w:b w:val="0"/>
            <w:bCs/>
            <w:sz w:val="24"/>
            <w:szCs w:val="24"/>
          </w:rPr>
          <w:fldChar w:fldCharType="separate"/>
        </w:r>
        <w:r w:rsidRPr="00277D1F">
          <w:rPr>
            <w:b w:val="0"/>
            <w:bCs/>
            <w:sz w:val="24"/>
            <w:szCs w:val="24"/>
          </w:rPr>
          <w:t>2</w:t>
        </w:r>
        <w:r w:rsidRPr="00277D1F">
          <w:rPr>
            <w:b w:val="0"/>
            <w:bCs/>
            <w:sz w:val="24"/>
            <w:szCs w:val="24"/>
          </w:rPr>
          <w:fldChar w:fldCharType="end"/>
        </w:r>
      </w:p>
    </w:sdtContent>
  </w:sdt>
  <w:p w14:paraId="31481A1D" w14:textId="77777777" w:rsidR="005927ED" w:rsidRDefault="0059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670248"/>
      <w:docPartObj>
        <w:docPartGallery w:val="Page Numbers (Bottom of Page)"/>
        <w:docPartUnique/>
      </w:docPartObj>
    </w:sdtPr>
    <w:sdtEndPr>
      <w:rPr>
        <w:b w:val="0"/>
        <w:sz w:val="24"/>
        <w:szCs w:val="24"/>
      </w:rPr>
    </w:sdtEndPr>
    <w:sdtContent>
      <w:p w14:paraId="7DF16D54" w14:textId="2F9D1B57" w:rsidR="00277D1F" w:rsidRPr="00277D1F" w:rsidRDefault="00277D1F">
        <w:pPr>
          <w:pStyle w:val="Footer"/>
          <w:jc w:val="right"/>
          <w:rPr>
            <w:b w:val="0"/>
            <w:bCs/>
            <w:sz w:val="24"/>
            <w:szCs w:val="24"/>
          </w:rPr>
        </w:pPr>
        <w:r w:rsidRPr="00277D1F">
          <w:rPr>
            <w:b w:val="0"/>
            <w:bCs/>
            <w:sz w:val="24"/>
            <w:szCs w:val="24"/>
          </w:rPr>
          <w:fldChar w:fldCharType="begin"/>
        </w:r>
        <w:r w:rsidRPr="00277D1F">
          <w:rPr>
            <w:b w:val="0"/>
            <w:bCs/>
            <w:sz w:val="24"/>
            <w:szCs w:val="24"/>
          </w:rPr>
          <w:instrText>PAGE   \* MERGEFORMAT</w:instrText>
        </w:r>
        <w:r w:rsidRPr="00277D1F">
          <w:rPr>
            <w:b w:val="0"/>
            <w:bCs/>
            <w:sz w:val="24"/>
            <w:szCs w:val="24"/>
          </w:rPr>
          <w:fldChar w:fldCharType="separate"/>
        </w:r>
        <w:r w:rsidRPr="00277D1F">
          <w:rPr>
            <w:b w:val="0"/>
            <w:bCs/>
            <w:sz w:val="24"/>
            <w:szCs w:val="24"/>
          </w:rPr>
          <w:t>2</w:t>
        </w:r>
        <w:r w:rsidRPr="00277D1F">
          <w:rPr>
            <w:b w:val="0"/>
            <w:bCs/>
            <w:sz w:val="24"/>
            <w:szCs w:val="24"/>
          </w:rPr>
          <w:fldChar w:fldCharType="end"/>
        </w:r>
      </w:p>
    </w:sdtContent>
  </w:sdt>
  <w:p w14:paraId="0891863D" w14:textId="77777777" w:rsidR="00277D1F" w:rsidRDefault="0027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B24B" w14:textId="77777777" w:rsidR="000B211D" w:rsidRDefault="000B211D" w:rsidP="007D4D73">
      <w:r>
        <w:separator/>
      </w:r>
    </w:p>
  </w:footnote>
  <w:footnote w:type="continuationSeparator" w:id="0">
    <w:p w14:paraId="03331AAC" w14:textId="77777777" w:rsidR="000B211D" w:rsidRDefault="000B211D" w:rsidP="007D4D73">
      <w:r>
        <w:continuationSeparator/>
      </w:r>
    </w:p>
  </w:footnote>
  <w:footnote w:id="1">
    <w:p w14:paraId="4742DB37" w14:textId="77777777" w:rsidR="005927ED" w:rsidRPr="00515443" w:rsidRDefault="005927ED" w:rsidP="005927ED">
      <w:pPr>
        <w:pStyle w:val="FootnoteText"/>
        <w:rPr>
          <w:rFonts w:ascii="Arial" w:hAnsi="Arial" w:cs="Arial"/>
        </w:rPr>
      </w:pPr>
      <w:r w:rsidRPr="00515443">
        <w:rPr>
          <w:rStyle w:val="FootnoteReference"/>
          <w:rFonts w:ascii="Arial" w:hAnsi="Arial" w:cs="Arial"/>
        </w:rPr>
        <w:footnoteRef/>
      </w:r>
      <w:r w:rsidRPr="00515443">
        <w:rPr>
          <w:rFonts w:ascii="Arial" w:hAnsi="Arial" w:cs="Arial"/>
        </w:rPr>
        <w:t xml:space="preserve"> The relevant UK fisheries authorities for the pelagic FMPs are the Scottish Government, the Welsh Government</w:t>
      </w:r>
      <w:r>
        <w:rPr>
          <w:rFonts w:ascii="Arial" w:hAnsi="Arial" w:cs="Arial"/>
        </w:rPr>
        <w:t xml:space="preserve"> (two of the plans)</w:t>
      </w:r>
      <w:r w:rsidRPr="00515443">
        <w:rPr>
          <w:rFonts w:ascii="Arial" w:hAnsi="Arial" w:cs="Arial"/>
        </w:rPr>
        <w:t>, the Department for Environment, Food &amp; Rural Affairs, and the Department of Agriculture, Environment and Rural Affairs in Northern Ireland</w:t>
      </w:r>
    </w:p>
  </w:footnote>
  <w:footnote w:id="2">
    <w:p w14:paraId="6AE0B8CD" w14:textId="77777777" w:rsidR="005927ED" w:rsidRDefault="005927ED" w:rsidP="005927ED">
      <w:pPr>
        <w:pStyle w:val="FootnoteText"/>
      </w:pPr>
      <w:r w:rsidRPr="00515443">
        <w:rPr>
          <w:rStyle w:val="FootnoteReference"/>
          <w:rFonts w:ascii="Arial" w:hAnsi="Arial" w:cs="Arial"/>
        </w:rPr>
        <w:footnoteRef/>
      </w:r>
      <w:r w:rsidRPr="00515443">
        <w:rPr>
          <w:rFonts w:ascii="Arial" w:hAnsi="Arial" w:cs="Arial"/>
        </w:rPr>
        <w:t xml:space="preserve"> Annex A of the JFS was amended in December 2024.</w:t>
      </w:r>
    </w:p>
  </w:footnote>
  <w:footnote w:id="3">
    <w:p w14:paraId="4A1E78EC" w14:textId="77777777" w:rsidR="005927ED" w:rsidRDefault="005927ED" w:rsidP="005927ED">
      <w:pPr>
        <w:pStyle w:val="FootnoteText"/>
      </w:pPr>
      <w:r>
        <w:rPr>
          <w:rStyle w:val="FootnoteReference"/>
        </w:rPr>
        <w:footnoteRef/>
      </w:r>
      <w:r>
        <w:t xml:space="preserve"> </w:t>
      </w:r>
      <w:r w:rsidRPr="00E76529">
        <w:rPr>
          <w:rFonts w:ascii="Arial" w:hAnsi="Arial" w:cs="Arial"/>
          <w:sz w:val="22"/>
          <w:szCs w:val="22"/>
        </w:rPr>
        <w:t xml:space="preserve">Internal analysis of Scottish Government </w:t>
      </w:r>
      <w:r>
        <w:rPr>
          <w:rFonts w:ascii="Arial" w:hAnsi="Arial" w:cs="Arial"/>
          <w:sz w:val="22"/>
          <w:szCs w:val="22"/>
        </w:rPr>
        <w:t xml:space="preserve">fisheries management </w:t>
      </w:r>
      <w:r w:rsidRPr="00E76529">
        <w:rPr>
          <w:rFonts w:ascii="Arial" w:hAnsi="Arial" w:cs="Arial"/>
          <w:sz w:val="22"/>
          <w:szCs w:val="22"/>
        </w:rPr>
        <w:t>data.</w:t>
      </w:r>
    </w:p>
  </w:footnote>
  <w:footnote w:id="4">
    <w:p w14:paraId="0E11D7AB" w14:textId="77777777" w:rsidR="005927ED" w:rsidRPr="00E76529" w:rsidRDefault="005927ED" w:rsidP="005927ED">
      <w:pPr>
        <w:pStyle w:val="FootnoteText"/>
        <w:rPr>
          <w:rFonts w:ascii="Arial" w:hAnsi="Arial" w:cs="Arial"/>
        </w:rPr>
      </w:pPr>
      <w:r w:rsidRPr="00E76529">
        <w:rPr>
          <w:rStyle w:val="FootnoteReference"/>
          <w:rFonts w:ascii="Arial" w:hAnsi="Arial" w:cs="Arial"/>
        </w:rPr>
        <w:footnoteRef/>
      </w:r>
      <w:r w:rsidRPr="00E76529">
        <w:rPr>
          <w:rFonts w:ascii="Arial" w:hAnsi="Arial" w:cs="Arial"/>
        </w:rPr>
        <w:t xml:space="preserve"> </w:t>
      </w:r>
      <w:hyperlink r:id="rId1" w:history="1">
        <w:r w:rsidRPr="00E76529">
          <w:rPr>
            <w:rStyle w:val="Hyperlink"/>
            <w:rFonts w:ascii="Arial" w:hAnsi="Arial" w:cs="Arial"/>
          </w:rPr>
          <w:t>Fisheries Act 2020</w:t>
        </w:r>
      </w:hyperlink>
      <w:r w:rsidRPr="00E76529">
        <w:rPr>
          <w:rFonts w:ascii="Arial" w:hAnsi="Arial" w:cs="Arial"/>
        </w:rPr>
        <w:t xml:space="preserve"> </w:t>
      </w:r>
    </w:p>
  </w:footnote>
  <w:footnote w:id="5">
    <w:p w14:paraId="5D8B7E1B" w14:textId="77777777" w:rsidR="005927ED" w:rsidRPr="00E76529" w:rsidRDefault="005927ED" w:rsidP="005927ED">
      <w:pPr>
        <w:pStyle w:val="FootnoteText"/>
        <w:rPr>
          <w:rFonts w:ascii="Arial" w:hAnsi="Arial" w:cs="Arial"/>
        </w:rPr>
      </w:pPr>
      <w:r w:rsidRPr="00E76529">
        <w:rPr>
          <w:rStyle w:val="FootnoteReference"/>
          <w:rFonts w:ascii="Arial" w:hAnsi="Arial" w:cs="Arial"/>
        </w:rPr>
        <w:footnoteRef/>
      </w:r>
      <w:r w:rsidRPr="00E76529">
        <w:rPr>
          <w:rFonts w:ascii="Arial" w:hAnsi="Arial" w:cs="Arial"/>
        </w:rPr>
        <w:t xml:space="preserve"> consumption by one user reduces the amount available to others </w:t>
      </w:r>
    </w:p>
  </w:footnote>
  <w:footnote w:id="6">
    <w:p w14:paraId="4B71BA7C" w14:textId="77777777" w:rsidR="005927ED" w:rsidRPr="00E76529" w:rsidRDefault="005927ED" w:rsidP="005927ED">
      <w:pPr>
        <w:pStyle w:val="FootnoteText"/>
        <w:rPr>
          <w:rFonts w:ascii="Arial" w:hAnsi="Arial" w:cs="Arial"/>
        </w:rPr>
      </w:pPr>
      <w:r w:rsidRPr="00E76529">
        <w:rPr>
          <w:rStyle w:val="FootnoteReference"/>
          <w:rFonts w:ascii="Arial" w:hAnsi="Arial" w:cs="Arial"/>
        </w:rPr>
        <w:footnoteRef/>
      </w:r>
      <w:r w:rsidRPr="00E76529">
        <w:rPr>
          <w:rFonts w:ascii="Arial" w:hAnsi="Arial" w:cs="Arial"/>
        </w:rPr>
        <w:t xml:space="preserve"> difficult to exclude people from using the resource</w:t>
      </w:r>
    </w:p>
  </w:footnote>
  <w:footnote w:id="7">
    <w:p w14:paraId="650BF75E" w14:textId="77777777" w:rsidR="005927ED" w:rsidRPr="00E76529" w:rsidRDefault="005927ED" w:rsidP="005927ED">
      <w:pPr>
        <w:pStyle w:val="FootnoteText"/>
        <w:rPr>
          <w:rFonts w:ascii="Arial" w:hAnsi="Arial" w:cs="Arial"/>
        </w:rPr>
      </w:pPr>
      <w:r w:rsidRPr="00E76529">
        <w:rPr>
          <w:rStyle w:val="FootnoteReference"/>
          <w:rFonts w:ascii="Arial" w:hAnsi="Arial" w:cs="Arial"/>
        </w:rPr>
        <w:footnoteRef/>
      </w:r>
      <w:r w:rsidRPr="00E76529">
        <w:rPr>
          <w:rFonts w:ascii="Arial" w:hAnsi="Arial" w:cs="Arial"/>
        </w:rPr>
        <w:t xml:space="preserve"> costs or benefits of economic activity to third parties, such as wider society, that are not reflected in market prices</w:t>
      </w:r>
    </w:p>
  </w:footnote>
  <w:footnote w:id="8">
    <w:p w14:paraId="171DC690" w14:textId="77777777" w:rsidR="005927ED" w:rsidRDefault="005927ED" w:rsidP="005927ED">
      <w:pPr>
        <w:pStyle w:val="FootnoteText"/>
      </w:pPr>
      <w:r w:rsidRPr="00E76529">
        <w:rPr>
          <w:rStyle w:val="FootnoteReference"/>
          <w:rFonts w:ascii="Arial" w:hAnsi="Arial" w:cs="Arial"/>
        </w:rPr>
        <w:footnoteRef/>
      </w:r>
      <w:r w:rsidRPr="00E76529">
        <w:rPr>
          <w:rFonts w:ascii="Arial" w:hAnsi="Arial" w:cs="Arial"/>
        </w:rPr>
        <w:t xml:space="preserve"> </w:t>
      </w:r>
      <w:hyperlink r:id="rId2" w:history="1">
        <w:r w:rsidRPr="00E76529">
          <w:rPr>
            <w:rStyle w:val="Hyperlink"/>
            <w:rFonts w:ascii="Arial" w:hAnsi="Arial" w:cs="Arial"/>
          </w:rPr>
          <w:t>Joint Fisheries Statement</w:t>
        </w:r>
      </w:hyperlink>
      <w:r>
        <w:t xml:space="preserve"> </w:t>
      </w:r>
    </w:p>
  </w:footnote>
  <w:footnote w:id="9">
    <w:p w14:paraId="6C574DFD" w14:textId="77777777" w:rsidR="005927ED" w:rsidRDefault="005927ED" w:rsidP="005927ED">
      <w:pPr>
        <w:pStyle w:val="FootnoteText"/>
      </w:pPr>
      <w:r>
        <w:rPr>
          <w:rStyle w:val="FootnoteReference"/>
        </w:rPr>
        <w:footnoteRef/>
      </w:r>
      <w:r>
        <w:t xml:space="preserve"> </w:t>
      </w:r>
      <w:r w:rsidRPr="00E76529">
        <w:rPr>
          <w:rFonts w:ascii="Arial" w:hAnsi="Arial" w:cs="Arial"/>
        </w:rPr>
        <w:t xml:space="preserve">SG internal fisheries management data, August 2025. Figures may differ from the published </w:t>
      </w:r>
      <w:hyperlink r:id="rId3" w:history="1">
        <w:r w:rsidRPr="00E76529">
          <w:rPr>
            <w:rStyle w:val="Hyperlink"/>
            <w:rFonts w:ascii="Arial" w:hAnsi="Arial" w:cs="Arial"/>
          </w:rPr>
          <w:t>UK sea fisheries annual statistics report 2024</w:t>
        </w:r>
      </w:hyperlink>
      <w:r w:rsidRPr="00E76529">
        <w:rPr>
          <w:rFonts w:ascii="Arial" w:hAnsi="Arial" w:cs="Arial"/>
        </w:rPr>
        <w:t>.</w:t>
      </w:r>
    </w:p>
  </w:footnote>
  <w:footnote w:id="10">
    <w:p w14:paraId="6C57CE48" w14:textId="77777777" w:rsidR="005927ED" w:rsidRPr="008469E0" w:rsidRDefault="005927ED" w:rsidP="005927ED">
      <w:pPr>
        <w:pStyle w:val="FootnoteText"/>
        <w:rPr>
          <w:rFonts w:ascii="Arial" w:hAnsi="Arial" w:cs="Arial"/>
        </w:rPr>
      </w:pPr>
      <w:r w:rsidRPr="00E76529">
        <w:rPr>
          <w:rStyle w:val="FootnoteReference"/>
          <w:rFonts w:ascii="Arial" w:hAnsi="Arial" w:cs="Arial"/>
        </w:rPr>
        <w:footnoteRef/>
      </w:r>
      <w:r w:rsidRPr="00E76529">
        <w:rPr>
          <w:rFonts w:ascii="Arial" w:hAnsi="Arial" w:cs="Arial"/>
        </w:rPr>
        <w:t xml:space="preserve"> </w:t>
      </w:r>
      <w:hyperlink r:id="rId4" w:history="1">
        <w:r w:rsidRPr="008469E0">
          <w:rPr>
            <w:rStyle w:val="Hyperlink"/>
            <w:rFonts w:ascii="Arial" w:hAnsi="Arial" w:cs="Arial"/>
          </w:rPr>
          <w:t>Scottish Sea Fisheries Statistics 2024 - gov.scot</w:t>
        </w:r>
      </w:hyperlink>
      <w:r w:rsidRPr="008469E0">
        <w:rPr>
          <w:rFonts w:ascii="Arial" w:hAnsi="Arial" w:cs="Arial"/>
        </w:rPr>
        <w:t>: Table 47.</w:t>
      </w:r>
    </w:p>
  </w:footnote>
  <w:footnote w:id="11">
    <w:p w14:paraId="7F91853B" w14:textId="77777777" w:rsidR="005927ED" w:rsidRPr="008469E0" w:rsidRDefault="005927ED" w:rsidP="005927ED">
      <w:pPr>
        <w:pStyle w:val="FootnoteText"/>
        <w:rPr>
          <w:rFonts w:ascii="Arial" w:hAnsi="Arial" w:cs="Arial"/>
        </w:rPr>
      </w:pPr>
      <w:r w:rsidRPr="008469E0">
        <w:rPr>
          <w:rStyle w:val="FootnoteReference"/>
          <w:rFonts w:ascii="Arial" w:hAnsi="Arial" w:cs="Arial"/>
        </w:rPr>
        <w:footnoteRef/>
      </w:r>
      <w:r w:rsidRPr="008469E0">
        <w:rPr>
          <w:rFonts w:ascii="Arial" w:hAnsi="Arial" w:cs="Arial"/>
        </w:rPr>
        <w:t xml:space="preserve"> </w:t>
      </w:r>
      <w:hyperlink r:id="rId5" w:history="1">
        <w:r w:rsidRPr="008469E0">
          <w:rPr>
            <w:rStyle w:val="Hyperlink"/>
            <w:rFonts w:ascii="Arial" w:hAnsi="Arial" w:cs="Arial"/>
          </w:rPr>
          <w:t>Small Business, Enterprise and Employment Act 2015 – Definitions of small and micro business</w:t>
        </w:r>
      </w:hyperlink>
    </w:p>
  </w:footnote>
  <w:footnote w:id="12">
    <w:p w14:paraId="0CB129FD" w14:textId="77777777" w:rsidR="005927ED" w:rsidRDefault="005927ED" w:rsidP="005927ED">
      <w:pPr>
        <w:pStyle w:val="FootnoteText"/>
      </w:pPr>
      <w:r w:rsidRPr="008469E0">
        <w:rPr>
          <w:rStyle w:val="FootnoteReference"/>
          <w:rFonts w:ascii="Arial" w:hAnsi="Arial" w:cs="Arial"/>
        </w:rPr>
        <w:footnoteRef/>
      </w:r>
      <w:r w:rsidRPr="008469E0">
        <w:rPr>
          <w:rFonts w:ascii="Arial" w:hAnsi="Arial" w:cs="Arial"/>
        </w:rPr>
        <w:t xml:space="preserve"> </w:t>
      </w:r>
      <w:hyperlink r:id="rId6" w:history="1">
        <w:r w:rsidRPr="008469E0">
          <w:rPr>
            <w:rStyle w:val="Hyperlink"/>
            <w:rFonts w:ascii="Arial" w:hAnsi="Arial" w:cs="Arial"/>
          </w:rPr>
          <w:t>UK business: activity, size and location - Office for National Statistics</w:t>
        </w:r>
      </w:hyperlink>
      <w:r w:rsidRPr="008469E0">
        <w:rPr>
          <w:rFonts w:ascii="Arial" w:hAnsi="Arial" w:cs="Arial"/>
        </w:rPr>
        <w:t>: 2025, table 4</w:t>
      </w:r>
    </w:p>
  </w:footnote>
  <w:footnote w:id="13">
    <w:p w14:paraId="03A484A3" w14:textId="77777777" w:rsidR="005927ED" w:rsidRPr="008469E0" w:rsidRDefault="005927ED" w:rsidP="005927ED">
      <w:pPr>
        <w:pStyle w:val="FootnoteText"/>
        <w:rPr>
          <w:rStyle w:val="Hyperlink"/>
          <w:rFonts w:ascii="Arial" w:hAnsi="Arial" w:cs="Arial"/>
        </w:rPr>
      </w:pPr>
      <w:r w:rsidRPr="00E76529">
        <w:rPr>
          <w:rStyle w:val="FootnoteReference"/>
          <w:rFonts w:ascii="Arial" w:hAnsi="Arial" w:cs="Arial"/>
        </w:rPr>
        <w:footnoteRef/>
      </w:r>
      <w:r w:rsidRPr="00E76529">
        <w:rPr>
          <w:rFonts w:ascii="Arial" w:hAnsi="Arial" w:cs="Arial"/>
        </w:rPr>
        <w:t xml:space="preserve"> </w:t>
      </w:r>
      <w:hyperlink r:id="rId7" w:history="1">
        <w:r w:rsidRPr="008469E0">
          <w:rPr>
            <w:rStyle w:val="Hyperlink"/>
            <w:rFonts w:ascii="Arial" w:hAnsi="Arial" w:cs="Arial"/>
          </w:rPr>
          <w:t>Changing fish distributions challenge the effective management of European Fisheries</w:t>
        </w:r>
      </w:hyperlink>
    </w:p>
  </w:footnote>
  <w:footnote w:id="14">
    <w:p w14:paraId="59811DC1" w14:textId="77777777" w:rsidR="005927ED" w:rsidRPr="00E76529" w:rsidRDefault="005927ED" w:rsidP="005927ED">
      <w:pPr>
        <w:shd w:val="clear" w:color="auto" w:fill="FFFFFF"/>
        <w:rPr>
          <w:rFonts w:ascii="Arial" w:hAnsi="Arial" w:cs="Arial"/>
          <w:color w:val="0000FF"/>
          <w:sz w:val="20"/>
          <w:szCs w:val="20"/>
        </w:rPr>
      </w:pPr>
      <w:r w:rsidRPr="008469E0">
        <w:rPr>
          <w:rStyle w:val="Hyperlink"/>
          <w:rFonts w:ascii="Arial" w:hAnsi="Arial" w:cs="Arial"/>
          <w:sz w:val="20"/>
          <w:szCs w:val="20"/>
        </w:rPr>
        <w:footnoteRef/>
      </w:r>
      <w:r w:rsidRPr="008469E0">
        <w:rPr>
          <w:rStyle w:val="Hyperlink"/>
          <w:rFonts w:ascii="Arial" w:hAnsi="Arial" w:cs="Arial"/>
          <w:sz w:val="20"/>
          <w:szCs w:val="20"/>
        </w:rPr>
        <w:t xml:space="preserve"> </w:t>
      </w:r>
      <w:hyperlink r:id="rId8" w:history="1">
        <w:r w:rsidRPr="008469E0">
          <w:rPr>
            <w:rStyle w:val="Hyperlink"/>
            <w:rFonts w:ascii="Arial" w:hAnsi="Arial" w:cs="Arial"/>
            <w:sz w:val="20"/>
            <w:szCs w:val="20"/>
          </w:rPr>
          <w:t>Climate change projections of commercial fish distribution and suitable habitat around north western Europe</w:t>
        </w:r>
      </w:hyperlink>
    </w:p>
  </w:footnote>
  <w:footnote w:id="15">
    <w:p w14:paraId="495F6C53" w14:textId="77777777" w:rsidR="005927ED" w:rsidRPr="004249E8" w:rsidRDefault="005927ED" w:rsidP="000A08A5">
      <w:pPr>
        <w:spacing w:line="300" w:lineRule="atLeast"/>
        <w:rPr>
          <w:rFonts w:ascii="Arial" w:hAnsi="Arial" w:cs="Arial"/>
          <w:kern w:val="0"/>
          <w:sz w:val="20"/>
          <w:szCs w:val="20"/>
          <w:lang w:eastAsia="en-GB"/>
          <w14:ligatures w14:val="none"/>
        </w:rPr>
      </w:pPr>
      <w:r w:rsidRPr="004249E8">
        <w:rPr>
          <w:rStyle w:val="FootnoteReference"/>
          <w:rFonts w:ascii="Arial" w:hAnsi="Arial" w:cs="Arial"/>
          <w:sz w:val="20"/>
          <w:szCs w:val="20"/>
        </w:rPr>
        <w:footnoteRef/>
      </w:r>
      <w:r w:rsidRPr="004249E8">
        <w:rPr>
          <w:rFonts w:ascii="Arial" w:hAnsi="Arial" w:cs="Arial"/>
          <w:sz w:val="20"/>
          <w:szCs w:val="20"/>
        </w:rPr>
        <w:t xml:space="preserve"> </w:t>
      </w:r>
      <w:r w:rsidRPr="004249E8">
        <w:rPr>
          <w:rFonts w:ascii="Arial" w:hAnsi="Arial" w:cs="Arial"/>
          <w:kern w:val="0"/>
          <w:sz w:val="20"/>
          <w:szCs w:val="20"/>
          <w:lang w:eastAsia="en-GB"/>
          <w14:ligatures w14:val="none"/>
        </w:rPr>
        <w:t>Baudron et al. (2020) describes a “wasp</w:t>
      </w:r>
      <w:r w:rsidRPr="004249E8">
        <w:rPr>
          <w:rFonts w:ascii="Arial" w:hAnsi="Arial" w:cs="Arial"/>
          <w:kern w:val="0"/>
          <w:sz w:val="20"/>
          <w:szCs w:val="20"/>
          <w:lang w:eastAsia="en-GB"/>
          <w14:ligatures w14:val="none"/>
        </w:rPr>
        <w:noBreakHyphen/>
        <w:t>waist” ecosystem as a food web structure in which a small number of highly abundant mid</w:t>
      </w:r>
      <w:r w:rsidRPr="004249E8">
        <w:rPr>
          <w:rFonts w:ascii="Arial" w:hAnsi="Arial" w:cs="Arial"/>
          <w:kern w:val="0"/>
          <w:sz w:val="20"/>
          <w:szCs w:val="20"/>
          <w:lang w:eastAsia="en-GB"/>
          <w14:ligatures w14:val="none"/>
        </w:rPr>
        <w:noBreakHyphen/>
        <w:t>trophic pelagic species (e.g. herring, mackerel, sprat) form a narrow “waist” linking lower trophic levels (plankton) to higher predators such as seabirds, marine mammals and larger fish.</w:t>
      </w:r>
    </w:p>
    <w:p w14:paraId="6CCB859D" w14:textId="77777777" w:rsidR="005927ED" w:rsidRDefault="005927ED" w:rsidP="005927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A3267B"/>
    <w:multiLevelType w:val="multilevel"/>
    <w:tmpl w:val="FC5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95D51"/>
    <w:multiLevelType w:val="multilevel"/>
    <w:tmpl w:val="7A7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960CF"/>
    <w:multiLevelType w:val="hybridMultilevel"/>
    <w:tmpl w:val="5742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D00D7"/>
    <w:multiLevelType w:val="multilevel"/>
    <w:tmpl w:val="C21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B179F"/>
    <w:multiLevelType w:val="hybridMultilevel"/>
    <w:tmpl w:val="DCD2FC1E"/>
    <w:lvl w:ilvl="0" w:tplc="7C2299FC">
      <w:start w:val="1"/>
      <w:numFmt w:val="decimal"/>
      <w:lvlText w:val="%1."/>
      <w:lvlJc w:val="left"/>
      <w:pPr>
        <w:ind w:left="720" w:hanging="360"/>
      </w:pPr>
    </w:lvl>
    <w:lvl w:ilvl="1" w:tplc="B3BE284C">
      <w:start w:val="1"/>
      <w:numFmt w:val="bullet"/>
      <w:lvlText w:val=""/>
      <w:lvlJc w:val="left"/>
      <w:pPr>
        <w:ind w:left="1440" w:hanging="360"/>
      </w:pPr>
      <w:rPr>
        <w:rFonts w:ascii="Symbol" w:hAnsi="Symbol" w:hint="default"/>
      </w:rPr>
    </w:lvl>
    <w:lvl w:ilvl="2" w:tplc="DADA60E0">
      <w:start w:val="1"/>
      <w:numFmt w:val="lowerRoman"/>
      <w:lvlText w:val="%3."/>
      <w:lvlJc w:val="right"/>
      <w:pPr>
        <w:ind w:left="2160" w:hanging="180"/>
      </w:pPr>
    </w:lvl>
    <w:lvl w:ilvl="3" w:tplc="EAAA05C0">
      <w:start w:val="1"/>
      <w:numFmt w:val="decimal"/>
      <w:lvlText w:val="%4."/>
      <w:lvlJc w:val="left"/>
      <w:pPr>
        <w:ind w:left="2880" w:hanging="360"/>
      </w:pPr>
    </w:lvl>
    <w:lvl w:ilvl="4" w:tplc="D9949606">
      <w:start w:val="1"/>
      <w:numFmt w:val="lowerLetter"/>
      <w:lvlText w:val="%5."/>
      <w:lvlJc w:val="left"/>
      <w:pPr>
        <w:ind w:left="3600" w:hanging="360"/>
      </w:pPr>
    </w:lvl>
    <w:lvl w:ilvl="5" w:tplc="037297C2">
      <w:start w:val="1"/>
      <w:numFmt w:val="lowerRoman"/>
      <w:lvlText w:val="%6."/>
      <w:lvlJc w:val="right"/>
      <w:pPr>
        <w:ind w:left="4320" w:hanging="180"/>
      </w:pPr>
    </w:lvl>
    <w:lvl w:ilvl="6" w:tplc="99E2DC7A">
      <w:start w:val="1"/>
      <w:numFmt w:val="decimal"/>
      <w:lvlText w:val="%7."/>
      <w:lvlJc w:val="left"/>
      <w:pPr>
        <w:ind w:left="5040" w:hanging="360"/>
      </w:pPr>
    </w:lvl>
    <w:lvl w:ilvl="7" w:tplc="CE507536">
      <w:start w:val="1"/>
      <w:numFmt w:val="lowerLetter"/>
      <w:lvlText w:val="%8."/>
      <w:lvlJc w:val="left"/>
      <w:pPr>
        <w:ind w:left="5760" w:hanging="360"/>
      </w:pPr>
    </w:lvl>
    <w:lvl w:ilvl="8" w:tplc="19FC5408">
      <w:start w:val="1"/>
      <w:numFmt w:val="lowerRoman"/>
      <w:lvlText w:val="%9."/>
      <w:lvlJc w:val="right"/>
      <w:pPr>
        <w:ind w:left="6480" w:hanging="180"/>
      </w:pPr>
    </w:lvl>
  </w:abstractNum>
  <w:abstractNum w:abstractNumId="6" w15:restartNumberingAfterBreak="0">
    <w:nsid w:val="186E6443"/>
    <w:multiLevelType w:val="multilevel"/>
    <w:tmpl w:val="312E1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87941"/>
    <w:multiLevelType w:val="multilevel"/>
    <w:tmpl w:val="135C3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D1945"/>
    <w:multiLevelType w:val="multilevel"/>
    <w:tmpl w:val="581E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05088"/>
    <w:multiLevelType w:val="multilevel"/>
    <w:tmpl w:val="771A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AA87E"/>
    <w:multiLevelType w:val="hybridMultilevel"/>
    <w:tmpl w:val="B01C921C"/>
    <w:lvl w:ilvl="0" w:tplc="1C0EA672">
      <w:start w:val="1"/>
      <w:numFmt w:val="decimal"/>
      <w:lvlText w:val="%1."/>
      <w:lvlJc w:val="left"/>
      <w:pPr>
        <w:ind w:left="720" w:hanging="360"/>
      </w:pPr>
    </w:lvl>
    <w:lvl w:ilvl="1" w:tplc="DBAC14CA">
      <w:start w:val="1"/>
      <w:numFmt w:val="lowerLetter"/>
      <w:lvlText w:val="%2."/>
      <w:lvlJc w:val="left"/>
      <w:pPr>
        <w:ind w:left="1440" w:hanging="360"/>
      </w:pPr>
    </w:lvl>
    <w:lvl w:ilvl="2" w:tplc="064CE1D2">
      <w:start w:val="1"/>
      <w:numFmt w:val="lowerRoman"/>
      <w:lvlText w:val="%3."/>
      <w:lvlJc w:val="right"/>
      <w:pPr>
        <w:ind w:left="2160" w:hanging="180"/>
      </w:pPr>
    </w:lvl>
    <w:lvl w:ilvl="3" w:tplc="D340DDD6">
      <w:start w:val="1"/>
      <w:numFmt w:val="decimal"/>
      <w:lvlText w:val="%4."/>
      <w:lvlJc w:val="left"/>
      <w:pPr>
        <w:ind w:left="2880" w:hanging="360"/>
      </w:pPr>
    </w:lvl>
    <w:lvl w:ilvl="4" w:tplc="FFECA802">
      <w:start w:val="1"/>
      <w:numFmt w:val="lowerLetter"/>
      <w:lvlText w:val="%5."/>
      <w:lvlJc w:val="left"/>
      <w:pPr>
        <w:ind w:left="3600" w:hanging="360"/>
      </w:pPr>
    </w:lvl>
    <w:lvl w:ilvl="5" w:tplc="E9FE47C0">
      <w:start w:val="1"/>
      <w:numFmt w:val="lowerRoman"/>
      <w:lvlText w:val="%6."/>
      <w:lvlJc w:val="right"/>
      <w:pPr>
        <w:ind w:left="4320" w:hanging="180"/>
      </w:pPr>
    </w:lvl>
    <w:lvl w:ilvl="6" w:tplc="21D2F9E4">
      <w:start w:val="1"/>
      <w:numFmt w:val="decimal"/>
      <w:lvlText w:val="%7."/>
      <w:lvlJc w:val="left"/>
      <w:pPr>
        <w:ind w:left="5040" w:hanging="360"/>
      </w:pPr>
    </w:lvl>
    <w:lvl w:ilvl="7" w:tplc="646CF172">
      <w:start w:val="1"/>
      <w:numFmt w:val="lowerLetter"/>
      <w:lvlText w:val="%8."/>
      <w:lvlJc w:val="left"/>
      <w:pPr>
        <w:ind w:left="5760" w:hanging="360"/>
      </w:pPr>
    </w:lvl>
    <w:lvl w:ilvl="8" w:tplc="3274D4C0">
      <w:start w:val="1"/>
      <w:numFmt w:val="lowerRoman"/>
      <w:lvlText w:val="%9."/>
      <w:lvlJc w:val="right"/>
      <w:pPr>
        <w:ind w:left="6480" w:hanging="180"/>
      </w:pPr>
    </w:lvl>
  </w:abstractNum>
  <w:abstractNum w:abstractNumId="11" w15:restartNumberingAfterBreak="0">
    <w:nsid w:val="24767F48"/>
    <w:multiLevelType w:val="multilevel"/>
    <w:tmpl w:val="7E448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26C52"/>
    <w:multiLevelType w:val="multilevel"/>
    <w:tmpl w:val="9662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60F1B"/>
    <w:multiLevelType w:val="hybridMultilevel"/>
    <w:tmpl w:val="710E8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4803AC"/>
    <w:multiLevelType w:val="multilevel"/>
    <w:tmpl w:val="325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02400"/>
    <w:multiLevelType w:val="multilevel"/>
    <w:tmpl w:val="BE5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04081"/>
    <w:multiLevelType w:val="multilevel"/>
    <w:tmpl w:val="A47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4E02D3"/>
    <w:multiLevelType w:val="hybridMultilevel"/>
    <w:tmpl w:val="302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32F6D"/>
    <w:multiLevelType w:val="multilevel"/>
    <w:tmpl w:val="25D0FF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3E429C"/>
    <w:multiLevelType w:val="hybridMultilevel"/>
    <w:tmpl w:val="E6A00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56219D"/>
    <w:multiLevelType w:val="hybridMultilevel"/>
    <w:tmpl w:val="52BC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E63A8"/>
    <w:multiLevelType w:val="multilevel"/>
    <w:tmpl w:val="D028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17657"/>
    <w:multiLevelType w:val="hybridMultilevel"/>
    <w:tmpl w:val="6A14E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728A1"/>
    <w:multiLevelType w:val="multilevel"/>
    <w:tmpl w:val="D71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BF0A2E"/>
    <w:multiLevelType w:val="hybridMultilevel"/>
    <w:tmpl w:val="63E0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7089A"/>
    <w:multiLevelType w:val="multilevel"/>
    <w:tmpl w:val="74B60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01F30"/>
    <w:multiLevelType w:val="multilevel"/>
    <w:tmpl w:val="72C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7064"/>
    <w:multiLevelType w:val="multilevel"/>
    <w:tmpl w:val="DC9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5581EF6"/>
    <w:multiLevelType w:val="hybridMultilevel"/>
    <w:tmpl w:val="F18C0C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583F78"/>
    <w:multiLevelType w:val="hybridMultilevel"/>
    <w:tmpl w:val="570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5D0C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6F7827A9"/>
    <w:multiLevelType w:val="multilevel"/>
    <w:tmpl w:val="9662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560DE5"/>
    <w:multiLevelType w:val="multilevel"/>
    <w:tmpl w:val="7D30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4D21DD"/>
    <w:multiLevelType w:val="hybridMultilevel"/>
    <w:tmpl w:val="C84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560524">
    <w:abstractNumId w:val="28"/>
  </w:num>
  <w:num w:numId="2" w16cid:durableId="1375036525">
    <w:abstractNumId w:val="0"/>
  </w:num>
  <w:num w:numId="3" w16cid:durableId="1690184443">
    <w:abstractNumId w:val="26"/>
  </w:num>
  <w:num w:numId="4" w16cid:durableId="1860508438">
    <w:abstractNumId w:val="8"/>
  </w:num>
  <w:num w:numId="5" w16cid:durableId="678895655">
    <w:abstractNumId w:val="21"/>
  </w:num>
  <w:num w:numId="6" w16cid:durableId="896935968">
    <w:abstractNumId w:val="15"/>
  </w:num>
  <w:num w:numId="7" w16cid:durableId="1226143612">
    <w:abstractNumId w:val="1"/>
  </w:num>
  <w:num w:numId="8" w16cid:durableId="1675650719">
    <w:abstractNumId w:val="16"/>
  </w:num>
  <w:num w:numId="9" w16cid:durableId="795560951">
    <w:abstractNumId w:val="14"/>
  </w:num>
  <w:num w:numId="10" w16cid:durableId="2006938156">
    <w:abstractNumId w:val="33"/>
  </w:num>
  <w:num w:numId="11" w16cid:durableId="1021468369">
    <w:abstractNumId w:val="27"/>
  </w:num>
  <w:num w:numId="12" w16cid:durableId="251359503">
    <w:abstractNumId w:val="23"/>
  </w:num>
  <w:num w:numId="13" w16cid:durableId="218638886">
    <w:abstractNumId w:val="4"/>
  </w:num>
  <w:num w:numId="14" w16cid:durableId="1478690886">
    <w:abstractNumId w:val="9"/>
  </w:num>
  <w:num w:numId="15" w16cid:durableId="1513447519">
    <w:abstractNumId w:val="2"/>
  </w:num>
  <w:num w:numId="16" w16cid:durableId="455374098">
    <w:abstractNumId w:val="7"/>
  </w:num>
  <w:num w:numId="17" w16cid:durableId="479886994">
    <w:abstractNumId w:val="18"/>
  </w:num>
  <w:num w:numId="18" w16cid:durableId="1703089350">
    <w:abstractNumId w:val="25"/>
  </w:num>
  <w:num w:numId="19" w16cid:durableId="1460344828">
    <w:abstractNumId w:val="11"/>
  </w:num>
  <w:num w:numId="20" w16cid:durableId="691803226">
    <w:abstractNumId w:val="6"/>
  </w:num>
  <w:num w:numId="21" w16cid:durableId="1858692428">
    <w:abstractNumId w:val="29"/>
  </w:num>
  <w:num w:numId="22" w16cid:durableId="370737364">
    <w:abstractNumId w:val="32"/>
  </w:num>
  <w:num w:numId="23" w16cid:durableId="1254318867">
    <w:abstractNumId w:val="13"/>
  </w:num>
  <w:num w:numId="24" w16cid:durableId="1443379905">
    <w:abstractNumId w:val="17"/>
  </w:num>
  <w:num w:numId="25" w16cid:durableId="88547755">
    <w:abstractNumId w:val="31"/>
  </w:num>
  <w:num w:numId="26" w16cid:durableId="1471051283">
    <w:abstractNumId w:val="12"/>
  </w:num>
  <w:num w:numId="27" w16cid:durableId="1707634043">
    <w:abstractNumId w:val="10"/>
  </w:num>
  <w:num w:numId="28" w16cid:durableId="843711010">
    <w:abstractNumId w:val="5"/>
  </w:num>
  <w:num w:numId="29" w16cid:durableId="1548377259">
    <w:abstractNumId w:val="22"/>
  </w:num>
  <w:num w:numId="30" w16cid:durableId="429273749">
    <w:abstractNumId w:val="19"/>
  </w:num>
  <w:num w:numId="31" w16cid:durableId="1112897168">
    <w:abstractNumId w:val="24"/>
  </w:num>
  <w:num w:numId="32" w16cid:durableId="448086809">
    <w:abstractNumId w:val="30"/>
  </w:num>
  <w:num w:numId="33" w16cid:durableId="1690184576">
    <w:abstractNumId w:val="3"/>
  </w:num>
  <w:num w:numId="34" w16cid:durableId="1266886933">
    <w:abstractNumId w:val="20"/>
  </w:num>
  <w:num w:numId="35" w16cid:durableId="1639915444">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2E"/>
    <w:rsid w:val="000029E7"/>
    <w:rsid w:val="00005984"/>
    <w:rsid w:val="0000754B"/>
    <w:rsid w:val="00007587"/>
    <w:rsid w:val="000104CE"/>
    <w:rsid w:val="00010AA0"/>
    <w:rsid w:val="00010CC0"/>
    <w:rsid w:val="000139B5"/>
    <w:rsid w:val="000146F5"/>
    <w:rsid w:val="00015389"/>
    <w:rsid w:val="00016DAB"/>
    <w:rsid w:val="00020054"/>
    <w:rsid w:val="000222BF"/>
    <w:rsid w:val="00022865"/>
    <w:rsid w:val="00027291"/>
    <w:rsid w:val="00027C27"/>
    <w:rsid w:val="0003021F"/>
    <w:rsid w:val="00035DF1"/>
    <w:rsid w:val="00036AE9"/>
    <w:rsid w:val="00043B0F"/>
    <w:rsid w:val="00045136"/>
    <w:rsid w:val="00046ABF"/>
    <w:rsid w:val="00050192"/>
    <w:rsid w:val="000501A1"/>
    <w:rsid w:val="000503DA"/>
    <w:rsid w:val="00050D28"/>
    <w:rsid w:val="000524CC"/>
    <w:rsid w:val="00052EAC"/>
    <w:rsid w:val="000532EB"/>
    <w:rsid w:val="000539A6"/>
    <w:rsid w:val="00053C12"/>
    <w:rsid w:val="000609CC"/>
    <w:rsid w:val="00063145"/>
    <w:rsid w:val="00064305"/>
    <w:rsid w:val="00066C5A"/>
    <w:rsid w:val="00067AA7"/>
    <w:rsid w:val="00075AF7"/>
    <w:rsid w:val="0007620F"/>
    <w:rsid w:val="00081352"/>
    <w:rsid w:val="00083907"/>
    <w:rsid w:val="00093A53"/>
    <w:rsid w:val="00093FC0"/>
    <w:rsid w:val="000949F5"/>
    <w:rsid w:val="0009555F"/>
    <w:rsid w:val="000978B0"/>
    <w:rsid w:val="000A08A5"/>
    <w:rsid w:val="000A1309"/>
    <w:rsid w:val="000A2089"/>
    <w:rsid w:val="000A2775"/>
    <w:rsid w:val="000A313A"/>
    <w:rsid w:val="000A557A"/>
    <w:rsid w:val="000A568E"/>
    <w:rsid w:val="000A5AAF"/>
    <w:rsid w:val="000A5C85"/>
    <w:rsid w:val="000B059E"/>
    <w:rsid w:val="000B0754"/>
    <w:rsid w:val="000B211D"/>
    <w:rsid w:val="000B3863"/>
    <w:rsid w:val="000B3A05"/>
    <w:rsid w:val="000B3ADC"/>
    <w:rsid w:val="000B558B"/>
    <w:rsid w:val="000B6A19"/>
    <w:rsid w:val="000B7DC3"/>
    <w:rsid w:val="000C0CF4"/>
    <w:rsid w:val="000C2701"/>
    <w:rsid w:val="000C2E2D"/>
    <w:rsid w:val="000C54B8"/>
    <w:rsid w:val="000C78AD"/>
    <w:rsid w:val="000C7E0A"/>
    <w:rsid w:val="000D124A"/>
    <w:rsid w:val="000D1842"/>
    <w:rsid w:val="000D1C5F"/>
    <w:rsid w:val="000D3EF3"/>
    <w:rsid w:val="000D57F7"/>
    <w:rsid w:val="000D620E"/>
    <w:rsid w:val="000E0136"/>
    <w:rsid w:val="000E0972"/>
    <w:rsid w:val="000E21A4"/>
    <w:rsid w:val="000E3486"/>
    <w:rsid w:val="000E441B"/>
    <w:rsid w:val="000E46AF"/>
    <w:rsid w:val="000E5FA2"/>
    <w:rsid w:val="000E786C"/>
    <w:rsid w:val="000F0E71"/>
    <w:rsid w:val="000F228C"/>
    <w:rsid w:val="000F2330"/>
    <w:rsid w:val="000F28CF"/>
    <w:rsid w:val="000F2F90"/>
    <w:rsid w:val="000F384E"/>
    <w:rsid w:val="000F5A51"/>
    <w:rsid w:val="00101417"/>
    <w:rsid w:val="001021DE"/>
    <w:rsid w:val="0010366D"/>
    <w:rsid w:val="00105A65"/>
    <w:rsid w:val="00106D5D"/>
    <w:rsid w:val="00106E8C"/>
    <w:rsid w:val="00107B63"/>
    <w:rsid w:val="00110CE8"/>
    <w:rsid w:val="00112514"/>
    <w:rsid w:val="00114AEF"/>
    <w:rsid w:val="001175D1"/>
    <w:rsid w:val="0012170E"/>
    <w:rsid w:val="00122F41"/>
    <w:rsid w:val="0012515D"/>
    <w:rsid w:val="001302E2"/>
    <w:rsid w:val="00132F45"/>
    <w:rsid w:val="00133749"/>
    <w:rsid w:val="00136593"/>
    <w:rsid w:val="00137F7A"/>
    <w:rsid w:val="00140247"/>
    <w:rsid w:val="00141F88"/>
    <w:rsid w:val="00142020"/>
    <w:rsid w:val="00142DC6"/>
    <w:rsid w:val="0014345E"/>
    <w:rsid w:val="001450E8"/>
    <w:rsid w:val="00147B88"/>
    <w:rsid w:val="001540E2"/>
    <w:rsid w:val="0015438A"/>
    <w:rsid w:val="00155066"/>
    <w:rsid w:val="00163F6B"/>
    <w:rsid w:val="00165039"/>
    <w:rsid w:val="00165FB4"/>
    <w:rsid w:val="0016620B"/>
    <w:rsid w:val="00175B9B"/>
    <w:rsid w:val="00177897"/>
    <w:rsid w:val="00180A21"/>
    <w:rsid w:val="00181157"/>
    <w:rsid w:val="0018178F"/>
    <w:rsid w:val="00181FB2"/>
    <w:rsid w:val="001822C8"/>
    <w:rsid w:val="00182B12"/>
    <w:rsid w:val="00183009"/>
    <w:rsid w:val="00187115"/>
    <w:rsid w:val="00187297"/>
    <w:rsid w:val="00187652"/>
    <w:rsid w:val="00190254"/>
    <w:rsid w:val="00192A82"/>
    <w:rsid w:val="0019466C"/>
    <w:rsid w:val="001966CF"/>
    <w:rsid w:val="001972CE"/>
    <w:rsid w:val="001976DB"/>
    <w:rsid w:val="001A4381"/>
    <w:rsid w:val="001A4472"/>
    <w:rsid w:val="001A5764"/>
    <w:rsid w:val="001A5C3B"/>
    <w:rsid w:val="001A6473"/>
    <w:rsid w:val="001A6CF1"/>
    <w:rsid w:val="001A780A"/>
    <w:rsid w:val="001A7994"/>
    <w:rsid w:val="001B0E33"/>
    <w:rsid w:val="001B242E"/>
    <w:rsid w:val="001B298A"/>
    <w:rsid w:val="001B4B67"/>
    <w:rsid w:val="001B62F8"/>
    <w:rsid w:val="001B69C7"/>
    <w:rsid w:val="001B6FD2"/>
    <w:rsid w:val="001B73FE"/>
    <w:rsid w:val="001C28CA"/>
    <w:rsid w:val="001C4C37"/>
    <w:rsid w:val="001C557A"/>
    <w:rsid w:val="001C5EE9"/>
    <w:rsid w:val="001C6CAA"/>
    <w:rsid w:val="001C7DE4"/>
    <w:rsid w:val="001D16F3"/>
    <w:rsid w:val="001D1965"/>
    <w:rsid w:val="001D1E1E"/>
    <w:rsid w:val="001D65A2"/>
    <w:rsid w:val="001D6C9E"/>
    <w:rsid w:val="001D6E7E"/>
    <w:rsid w:val="001D74C0"/>
    <w:rsid w:val="001E15F9"/>
    <w:rsid w:val="001E200C"/>
    <w:rsid w:val="001E33A1"/>
    <w:rsid w:val="001E38A2"/>
    <w:rsid w:val="001E393C"/>
    <w:rsid w:val="001E54E6"/>
    <w:rsid w:val="001F0B35"/>
    <w:rsid w:val="001F12EA"/>
    <w:rsid w:val="001F1A66"/>
    <w:rsid w:val="001F227A"/>
    <w:rsid w:val="001F2E69"/>
    <w:rsid w:val="001F3094"/>
    <w:rsid w:val="001F3D49"/>
    <w:rsid w:val="001F4DCF"/>
    <w:rsid w:val="00201489"/>
    <w:rsid w:val="00202140"/>
    <w:rsid w:val="00203735"/>
    <w:rsid w:val="00204B98"/>
    <w:rsid w:val="00206284"/>
    <w:rsid w:val="00210142"/>
    <w:rsid w:val="00210D62"/>
    <w:rsid w:val="00211028"/>
    <w:rsid w:val="00211A72"/>
    <w:rsid w:val="00211D00"/>
    <w:rsid w:val="00212C02"/>
    <w:rsid w:val="00215E40"/>
    <w:rsid w:val="0021602E"/>
    <w:rsid w:val="00216254"/>
    <w:rsid w:val="0021792F"/>
    <w:rsid w:val="002179C2"/>
    <w:rsid w:val="00220F6D"/>
    <w:rsid w:val="00221042"/>
    <w:rsid w:val="00227001"/>
    <w:rsid w:val="002274C4"/>
    <w:rsid w:val="002310C7"/>
    <w:rsid w:val="00231ED3"/>
    <w:rsid w:val="002342D0"/>
    <w:rsid w:val="002346D5"/>
    <w:rsid w:val="00240E39"/>
    <w:rsid w:val="00242259"/>
    <w:rsid w:val="002425EF"/>
    <w:rsid w:val="0024329A"/>
    <w:rsid w:val="002447A8"/>
    <w:rsid w:val="00245568"/>
    <w:rsid w:val="00247645"/>
    <w:rsid w:val="00250584"/>
    <w:rsid w:val="00250711"/>
    <w:rsid w:val="00250CB5"/>
    <w:rsid w:val="00251D70"/>
    <w:rsid w:val="00253B8A"/>
    <w:rsid w:val="00254476"/>
    <w:rsid w:val="00254B05"/>
    <w:rsid w:val="00255939"/>
    <w:rsid w:val="002616F6"/>
    <w:rsid w:val="00262EB5"/>
    <w:rsid w:val="00265D90"/>
    <w:rsid w:val="002672CF"/>
    <w:rsid w:val="002715D8"/>
    <w:rsid w:val="002742EC"/>
    <w:rsid w:val="002762F0"/>
    <w:rsid w:val="00277D1F"/>
    <w:rsid w:val="0028098A"/>
    <w:rsid w:val="00281135"/>
    <w:rsid w:val="00281579"/>
    <w:rsid w:val="0028174E"/>
    <w:rsid w:val="002824C2"/>
    <w:rsid w:val="002837B1"/>
    <w:rsid w:val="00285CF5"/>
    <w:rsid w:val="00285E71"/>
    <w:rsid w:val="00286541"/>
    <w:rsid w:val="0029094C"/>
    <w:rsid w:val="00290B9E"/>
    <w:rsid w:val="0029222B"/>
    <w:rsid w:val="0029229A"/>
    <w:rsid w:val="002937DF"/>
    <w:rsid w:val="00295349"/>
    <w:rsid w:val="00295E26"/>
    <w:rsid w:val="00295E9E"/>
    <w:rsid w:val="00295FAB"/>
    <w:rsid w:val="00296010"/>
    <w:rsid w:val="002975D1"/>
    <w:rsid w:val="0029780C"/>
    <w:rsid w:val="002A01CF"/>
    <w:rsid w:val="002A2534"/>
    <w:rsid w:val="002A3213"/>
    <w:rsid w:val="002A3AC0"/>
    <w:rsid w:val="002A4D29"/>
    <w:rsid w:val="002A58A4"/>
    <w:rsid w:val="002A6AD9"/>
    <w:rsid w:val="002A6C87"/>
    <w:rsid w:val="002B1239"/>
    <w:rsid w:val="002B1453"/>
    <w:rsid w:val="002B2A6C"/>
    <w:rsid w:val="002B3972"/>
    <w:rsid w:val="002B423A"/>
    <w:rsid w:val="002B454B"/>
    <w:rsid w:val="002B4B1A"/>
    <w:rsid w:val="002B6C6E"/>
    <w:rsid w:val="002B6E9D"/>
    <w:rsid w:val="002C09BB"/>
    <w:rsid w:val="002C1D3A"/>
    <w:rsid w:val="002C302C"/>
    <w:rsid w:val="002C4597"/>
    <w:rsid w:val="002D0124"/>
    <w:rsid w:val="002D0834"/>
    <w:rsid w:val="002D0A5B"/>
    <w:rsid w:val="002D2B16"/>
    <w:rsid w:val="002D68C4"/>
    <w:rsid w:val="002D79D9"/>
    <w:rsid w:val="002E14F1"/>
    <w:rsid w:val="002E178A"/>
    <w:rsid w:val="002E2C15"/>
    <w:rsid w:val="002E4778"/>
    <w:rsid w:val="002E5A4A"/>
    <w:rsid w:val="002E642D"/>
    <w:rsid w:val="002E6456"/>
    <w:rsid w:val="002E67F3"/>
    <w:rsid w:val="002E6D96"/>
    <w:rsid w:val="002F18F7"/>
    <w:rsid w:val="002F1C2D"/>
    <w:rsid w:val="002F3D26"/>
    <w:rsid w:val="0030107B"/>
    <w:rsid w:val="00303742"/>
    <w:rsid w:val="00304CCF"/>
    <w:rsid w:val="003063C0"/>
    <w:rsid w:val="00306C61"/>
    <w:rsid w:val="003072E3"/>
    <w:rsid w:val="00307638"/>
    <w:rsid w:val="00307942"/>
    <w:rsid w:val="00316085"/>
    <w:rsid w:val="0031750B"/>
    <w:rsid w:val="00320447"/>
    <w:rsid w:val="003204AB"/>
    <w:rsid w:val="003214F0"/>
    <w:rsid w:val="0032236C"/>
    <w:rsid w:val="00323178"/>
    <w:rsid w:val="00323A30"/>
    <w:rsid w:val="0032760B"/>
    <w:rsid w:val="003306F5"/>
    <w:rsid w:val="00330F1D"/>
    <w:rsid w:val="00335263"/>
    <w:rsid w:val="00336B31"/>
    <w:rsid w:val="00341C7F"/>
    <w:rsid w:val="00342302"/>
    <w:rsid w:val="00342EF8"/>
    <w:rsid w:val="00343FE5"/>
    <w:rsid w:val="00344AE0"/>
    <w:rsid w:val="00344BFE"/>
    <w:rsid w:val="003455D2"/>
    <w:rsid w:val="00345664"/>
    <w:rsid w:val="003460CF"/>
    <w:rsid w:val="00347444"/>
    <w:rsid w:val="0035387A"/>
    <w:rsid w:val="00354FF5"/>
    <w:rsid w:val="00356AEE"/>
    <w:rsid w:val="00361B13"/>
    <w:rsid w:val="00363E28"/>
    <w:rsid w:val="00365D2C"/>
    <w:rsid w:val="00367537"/>
    <w:rsid w:val="003708F1"/>
    <w:rsid w:val="0037582B"/>
    <w:rsid w:val="0038006E"/>
    <w:rsid w:val="003806C4"/>
    <w:rsid w:val="003813F8"/>
    <w:rsid w:val="00381AAD"/>
    <w:rsid w:val="00383C96"/>
    <w:rsid w:val="00384242"/>
    <w:rsid w:val="0038590D"/>
    <w:rsid w:val="0038593F"/>
    <w:rsid w:val="0038693B"/>
    <w:rsid w:val="003877C5"/>
    <w:rsid w:val="00387D42"/>
    <w:rsid w:val="00390C15"/>
    <w:rsid w:val="0039225D"/>
    <w:rsid w:val="00392EFE"/>
    <w:rsid w:val="00396092"/>
    <w:rsid w:val="003A1C02"/>
    <w:rsid w:val="003A2214"/>
    <w:rsid w:val="003A236A"/>
    <w:rsid w:val="003A4E89"/>
    <w:rsid w:val="003A6E9C"/>
    <w:rsid w:val="003A7DDB"/>
    <w:rsid w:val="003B3CAE"/>
    <w:rsid w:val="003B47A8"/>
    <w:rsid w:val="003B4C40"/>
    <w:rsid w:val="003B5712"/>
    <w:rsid w:val="003B6055"/>
    <w:rsid w:val="003B6557"/>
    <w:rsid w:val="003B662C"/>
    <w:rsid w:val="003C103F"/>
    <w:rsid w:val="003C3CF8"/>
    <w:rsid w:val="003C5093"/>
    <w:rsid w:val="003C5C43"/>
    <w:rsid w:val="003C664C"/>
    <w:rsid w:val="003C7009"/>
    <w:rsid w:val="003C70AE"/>
    <w:rsid w:val="003D00C6"/>
    <w:rsid w:val="003D2791"/>
    <w:rsid w:val="003D3ED8"/>
    <w:rsid w:val="003D45FA"/>
    <w:rsid w:val="003D4D8B"/>
    <w:rsid w:val="003D6336"/>
    <w:rsid w:val="003D6449"/>
    <w:rsid w:val="003D6AA9"/>
    <w:rsid w:val="003D7533"/>
    <w:rsid w:val="003D7C05"/>
    <w:rsid w:val="003D7FB5"/>
    <w:rsid w:val="003E018B"/>
    <w:rsid w:val="003E156B"/>
    <w:rsid w:val="003E4EEA"/>
    <w:rsid w:val="003E6A5E"/>
    <w:rsid w:val="003E7D1B"/>
    <w:rsid w:val="003F1A95"/>
    <w:rsid w:val="003F24DF"/>
    <w:rsid w:val="003F329E"/>
    <w:rsid w:val="003F3C36"/>
    <w:rsid w:val="003F556A"/>
    <w:rsid w:val="003F7299"/>
    <w:rsid w:val="003F7CAB"/>
    <w:rsid w:val="0040118E"/>
    <w:rsid w:val="004017AD"/>
    <w:rsid w:val="00403406"/>
    <w:rsid w:val="0040551C"/>
    <w:rsid w:val="0040703E"/>
    <w:rsid w:val="00407FA2"/>
    <w:rsid w:val="00410745"/>
    <w:rsid w:val="00411046"/>
    <w:rsid w:val="00411A6C"/>
    <w:rsid w:val="00414023"/>
    <w:rsid w:val="004179AF"/>
    <w:rsid w:val="00420767"/>
    <w:rsid w:val="0042243F"/>
    <w:rsid w:val="00422649"/>
    <w:rsid w:val="00424462"/>
    <w:rsid w:val="004249E8"/>
    <w:rsid w:val="00425FD1"/>
    <w:rsid w:val="004260EA"/>
    <w:rsid w:val="004261F6"/>
    <w:rsid w:val="004328B8"/>
    <w:rsid w:val="004347DC"/>
    <w:rsid w:val="004357F7"/>
    <w:rsid w:val="00435C77"/>
    <w:rsid w:val="00441906"/>
    <w:rsid w:val="00441BCA"/>
    <w:rsid w:val="00442FB8"/>
    <w:rsid w:val="0044386E"/>
    <w:rsid w:val="00444215"/>
    <w:rsid w:val="00444243"/>
    <w:rsid w:val="004442BF"/>
    <w:rsid w:val="004451C7"/>
    <w:rsid w:val="00445545"/>
    <w:rsid w:val="00445548"/>
    <w:rsid w:val="00446694"/>
    <w:rsid w:val="00446F2B"/>
    <w:rsid w:val="0045102D"/>
    <w:rsid w:val="004516C7"/>
    <w:rsid w:val="004530E0"/>
    <w:rsid w:val="00453434"/>
    <w:rsid w:val="00453F03"/>
    <w:rsid w:val="00454254"/>
    <w:rsid w:val="004551F7"/>
    <w:rsid w:val="00457DFA"/>
    <w:rsid w:val="0046014D"/>
    <w:rsid w:val="00462AEA"/>
    <w:rsid w:val="00467894"/>
    <w:rsid w:val="0046790D"/>
    <w:rsid w:val="00472A08"/>
    <w:rsid w:val="00477E42"/>
    <w:rsid w:val="004816FC"/>
    <w:rsid w:val="0048183A"/>
    <w:rsid w:val="00481C60"/>
    <w:rsid w:val="00482CE8"/>
    <w:rsid w:val="00483491"/>
    <w:rsid w:val="004835F3"/>
    <w:rsid w:val="0048377C"/>
    <w:rsid w:val="00487A47"/>
    <w:rsid w:val="00492823"/>
    <w:rsid w:val="00493CF8"/>
    <w:rsid w:val="00494DD5"/>
    <w:rsid w:val="004A1A6C"/>
    <w:rsid w:val="004A29F2"/>
    <w:rsid w:val="004A51B0"/>
    <w:rsid w:val="004A5DDF"/>
    <w:rsid w:val="004A62AB"/>
    <w:rsid w:val="004A656E"/>
    <w:rsid w:val="004B002D"/>
    <w:rsid w:val="004B0B5A"/>
    <w:rsid w:val="004B1BCE"/>
    <w:rsid w:val="004B55D2"/>
    <w:rsid w:val="004B5D56"/>
    <w:rsid w:val="004B6AEF"/>
    <w:rsid w:val="004B7A94"/>
    <w:rsid w:val="004C086F"/>
    <w:rsid w:val="004C092B"/>
    <w:rsid w:val="004C0BE1"/>
    <w:rsid w:val="004C12D3"/>
    <w:rsid w:val="004C1667"/>
    <w:rsid w:val="004C287F"/>
    <w:rsid w:val="004C365E"/>
    <w:rsid w:val="004C5AA7"/>
    <w:rsid w:val="004C5C25"/>
    <w:rsid w:val="004D1684"/>
    <w:rsid w:val="004D27E2"/>
    <w:rsid w:val="004D2C6B"/>
    <w:rsid w:val="004D50C2"/>
    <w:rsid w:val="004D5F91"/>
    <w:rsid w:val="004E0888"/>
    <w:rsid w:val="004E2A71"/>
    <w:rsid w:val="004E3786"/>
    <w:rsid w:val="004E488A"/>
    <w:rsid w:val="004E4AA1"/>
    <w:rsid w:val="004E4C03"/>
    <w:rsid w:val="004E4E14"/>
    <w:rsid w:val="004E6D71"/>
    <w:rsid w:val="004E7DC1"/>
    <w:rsid w:val="004F1265"/>
    <w:rsid w:val="004F2643"/>
    <w:rsid w:val="004F3964"/>
    <w:rsid w:val="004F4216"/>
    <w:rsid w:val="004F5AA1"/>
    <w:rsid w:val="004F6E67"/>
    <w:rsid w:val="004F700A"/>
    <w:rsid w:val="004F70D7"/>
    <w:rsid w:val="00500E0D"/>
    <w:rsid w:val="00502107"/>
    <w:rsid w:val="00502DF4"/>
    <w:rsid w:val="00504332"/>
    <w:rsid w:val="00504607"/>
    <w:rsid w:val="0050465E"/>
    <w:rsid w:val="00506274"/>
    <w:rsid w:val="00507A1E"/>
    <w:rsid w:val="00510231"/>
    <w:rsid w:val="00511546"/>
    <w:rsid w:val="0051276A"/>
    <w:rsid w:val="00513CD3"/>
    <w:rsid w:val="005142F6"/>
    <w:rsid w:val="0051483D"/>
    <w:rsid w:val="00514C29"/>
    <w:rsid w:val="00515443"/>
    <w:rsid w:val="005173F3"/>
    <w:rsid w:val="00517F37"/>
    <w:rsid w:val="0052059F"/>
    <w:rsid w:val="00520C84"/>
    <w:rsid w:val="005227EA"/>
    <w:rsid w:val="005259C3"/>
    <w:rsid w:val="005310DA"/>
    <w:rsid w:val="00531E95"/>
    <w:rsid w:val="00536298"/>
    <w:rsid w:val="005401B6"/>
    <w:rsid w:val="00540A75"/>
    <w:rsid w:val="0054144C"/>
    <w:rsid w:val="0054273F"/>
    <w:rsid w:val="00542B57"/>
    <w:rsid w:val="0054536C"/>
    <w:rsid w:val="00547234"/>
    <w:rsid w:val="00547F49"/>
    <w:rsid w:val="00550607"/>
    <w:rsid w:val="00550946"/>
    <w:rsid w:val="00551388"/>
    <w:rsid w:val="00553AD5"/>
    <w:rsid w:val="005552F2"/>
    <w:rsid w:val="00557DA2"/>
    <w:rsid w:val="0056131A"/>
    <w:rsid w:val="005636EB"/>
    <w:rsid w:val="00563AA4"/>
    <w:rsid w:val="00567262"/>
    <w:rsid w:val="005751DA"/>
    <w:rsid w:val="0057581F"/>
    <w:rsid w:val="00577756"/>
    <w:rsid w:val="00580977"/>
    <w:rsid w:val="00582BE1"/>
    <w:rsid w:val="00582E68"/>
    <w:rsid w:val="0058358F"/>
    <w:rsid w:val="00586B58"/>
    <w:rsid w:val="00590263"/>
    <w:rsid w:val="005927ED"/>
    <w:rsid w:val="00592820"/>
    <w:rsid w:val="00595435"/>
    <w:rsid w:val="005A139A"/>
    <w:rsid w:val="005A162E"/>
    <w:rsid w:val="005A3C59"/>
    <w:rsid w:val="005A3F6B"/>
    <w:rsid w:val="005A4A53"/>
    <w:rsid w:val="005A545B"/>
    <w:rsid w:val="005A655E"/>
    <w:rsid w:val="005A767E"/>
    <w:rsid w:val="005A77F7"/>
    <w:rsid w:val="005B16A4"/>
    <w:rsid w:val="005B23FB"/>
    <w:rsid w:val="005B2E6C"/>
    <w:rsid w:val="005B363D"/>
    <w:rsid w:val="005B5105"/>
    <w:rsid w:val="005B534C"/>
    <w:rsid w:val="005B6307"/>
    <w:rsid w:val="005B73DE"/>
    <w:rsid w:val="005C1FBF"/>
    <w:rsid w:val="005C4C3A"/>
    <w:rsid w:val="005C4C8D"/>
    <w:rsid w:val="005C64A4"/>
    <w:rsid w:val="005C7CAE"/>
    <w:rsid w:val="005D0863"/>
    <w:rsid w:val="005D2D28"/>
    <w:rsid w:val="005D3988"/>
    <w:rsid w:val="005D55DA"/>
    <w:rsid w:val="005D5941"/>
    <w:rsid w:val="005D737D"/>
    <w:rsid w:val="005D7CFB"/>
    <w:rsid w:val="005E1F5B"/>
    <w:rsid w:val="005E228C"/>
    <w:rsid w:val="005E2B6F"/>
    <w:rsid w:val="005E73C7"/>
    <w:rsid w:val="005E7D09"/>
    <w:rsid w:val="005F0FF3"/>
    <w:rsid w:val="005F14D7"/>
    <w:rsid w:val="005F2D7F"/>
    <w:rsid w:val="005F7FB1"/>
    <w:rsid w:val="00601ED3"/>
    <w:rsid w:val="00603F08"/>
    <w:rsid w:val="00605079"/>
    <w:rsid w:val="00605750"/>
    <w:rsid w:val="0061508B"/>
    <w:rsid w:val="00616105"/>
    <w:rsid w:val="00616C2C"/>
    <w:rsid w:val="00617268"/>
    <w:rsid w:val="006213B2"/>
    <w:rsid w:val="00621E75"/>
    <w:rsid w:val="00622154"/>
    <w:rsid w:val="006229A8"/>
    <w:rsid w:val="00622A1C"/>
    <w:rsid w:val="0062497A"/>
    <w:rsid w:val="00624F7D"/>
    <w:rsid w:val="0063118D"/>
    <w:rsid w:val="00633151"/>
    <w:rsid w:val="00633599"/>
    <w:rsid w:val="00634F62"/>
    <w:rsid w:val="006364A0"/>
    <w:rsid w:val="0064030F"/>
    <w:rsid w:val="006434BC"/>
    <w:rsid w:val="00643516"/>
    <w:rsid w:val="00643FB3"/>
    <w:rsid w:val="006455B4"/>
    <w:rsid w:val="0065280B"/>
    <w:rsid w:val="00655D68"/>
    <w:rsid w:val="00656C03"/>
    <w:rsid w:val="00656F33"/>
    <w:rsid w:val="00660682"/>
    <w:rsid w:val="00660C2E"/>
    <w:rsid w:val="00661839"/>
    <w:rsid w:val="00665D2F"/>
    <w:rsid w:val="006666F7"/>
    <w:rsid w:val="00670183"/>
    <w:rsid w:val="006720EB"/>
    <w:rsid w:val="00672FEB"/>
    <w:rsid w:val="0067350B"/>
    <w:rsid w:val="00673846"/>
    <w:rsid w:val="006738D6"/>
    <w:rsid w:val="00675581"/>
    <w:rsid w:val="00684073"/>
    <w:rsid w:val="00685086"/>
    <w:rsid w:val="006865F1"/>
    <w:rsid w:val="0069639E"/>
    <w:rsid w:val="0069663B"/>
    <w:rsid w:val="00697366"/>
    <w:rsid w:val="006A07D6"/>
    <w:rsid w:val="006A0CA9"/>
    <w:rsid w:val="006A2779"/>
    <w:rsid w:val="006A6A3E"/>
    <w:rsid w:val="006A6BFD"/>
    <w:rsid w:val="006B1D4A"/>
    <w:rsid w:val="006B2232"/>
    <w:rsid w:val="006B321A"/>
    <w:rsid w:val="006B6D4A"/>
    <w:rsid w:val="006C0930"/>
    <w:rsid w:val="006C1833"/>
    <w:rsid w:val="006C3D76"/>
    <w:rsid w:val="006C46FE"/>
    <w:rsid w:val="006C4FA6"/>
    <w:rsid w:val="006C563C"/>
    <w:rsid w:val="006C5E6F"/>
    <w:rsid w:val="006C765E"/>
    <w:rsid w:val="006D15F5"/>
    <w:rsid w:val="006D4089"/>
    <w:rsid w:val="006D47F2"/>
    <w:rsid w:val="006D6D39"/>
    <w:rsid w:val="006E1F98"/>
    <w:rsid w:val="006E4A4B"/>
    <w:rsid w:val="006E546F"/>
    <w:rsid w:val="006E7D5E"/>
    <w:rsid w:val="006F0CF4"/>
    <w:rsid w:val="006F145F"/>
    <w:rsid w:val="006F1BC1"/>
    <w:rsid w:val="00700429"/>
    <w:rsid w:val="00700CC4"/>
    <w:rsid w:val="007011B4"/>
    <w:rsid w:val="00701463"/>
    <w:rsid w:val="00701861"/>
    <w:rsid w:val="00701F84"/>
    <w:rsid w:val="00702373"/>
    <w:rsid w:val="00702EAC"/>
    <w:rsid w:val="00704249"/>
    <w:rsid w:val="00706736"/>
    <w:rsid w:val="00707C6F"/>
    <w:rsid w:val="007120C6"/>
    <w:rsid w:val="0071330E"/>
    <w:rsid w:val="00713D9A"/>
    <w:rsid w:val="007163C1"/>
    <w:rsid w:val="007178A3"/>
    <w:rsid w:val="00720F81"/>
    <w:rsid w:val="00721429"/>
    <w:rsid w:val="00721FF4"/>
    <w:rsid w:val="00724954"/>
    <w:rsid w:val="00725F38"/>
    <w:rsid w:val="0072724F"/>
    <w:rsid w:val="007302F7"/>
    <w:rsid w:val="007326F1"/>
    <w:rsid w:val="00734252"/>
    <w:rsid w:val="00734969"/>
    <w:rsid w:val="0073577B"/>
    <w:rsid w:val="00737E05"/>
    <w:rsid w:val="00740512"/>
    <w:rsid w:val="00747A55"/>
    <w:rsid w:val="00750270"/>
    <w:rsid w:val="0075094F"/>
    <w:rsid w:val="00751127"/>
    <w:rsid w:val="00756323"/>
    <w:rsid w:val="00756F57"/>
    <w:rsid w:val="007602EF"/>
    <w:rsid w:val="00761A57"/>
    <w:rsid w:val="00765884"/>
    <w:rsid w:val="00765D2A"/>
    <w:rsid w:val="00766560"/>
    <w:rsid w:val="00767402"/>
    <w:rsid w:val="007742AE"/>
    <w:rsid w:val="00774A84"/>
    <w:rsid w:val="00780EA2"/>
    <w:rsid w:val="0078122F"/>
    <w:rsid w:val="00781721"/>
    <w:rsid w:val="00781CDA"/>
    <w:rsid w:val="00784D6F"/>
    <w:rsid w:val="007852E3"/>
    <w:rsid w:val="00785E9A"/>
    <w:rsid w:val="00793E1E"/>
    <w:rsid w:val="00794BDA"/>
    <w:rsid w:val="00796792"/>
    <w:rsid w:val="00796BDE"/>
    <w:rsid w:val="00796FA4"/>
    <w:rsid w:val="007A0238"/>
    <w:rsid w:val="007A039E"/>
    <w:rsid w:val="007A319F"/>
    <w:rsid w:val="007A44D1"/>
    <w:rsid w:val="007A6D91"/>
    <w:rsid w:val="007A78D6"/>
    <w:rsid w:val="007B1818"/>
    <w:rsid w:val="007B74E4"/>
    <w:rsid w:val="007B7B48"/>
    <w:rsid w:val="007B7FFD"/>
    <w:rsid w:val="007C1C91"/>
    <w:rsid w:val="007C1D29"/>
    <w:rsid w:val="007C2921"/>
    <w:rsid w:val="007C3637"/>
    <w:rsid w:val="007C397C"/>
    <w:rsid w:val="007C417D"/>
    <w:rsid w:val="007C51E9"/>
    <w:rsid w:val="007C6D42"/>
    <w:rsid w:val="007D02AD"/>
    <w:rsid w:val="007D0644"/>
    <w:rsid w:val="007D1431"/>
    <w:rsid w:val="007D29E2"/>
    <w:rsid w:val="007D4D73"/>
    <w:rsid w:val="007D5FDB"/>
    <w:rsid w:val="007E0411"/>
    <w:rsid w:val="007E130A"/>
    <w:rsid w:val="007E13CB"/>
    <w:rsid w:val="007E1C19"/>
    <w:rsid w:val="007E3E00"/>
    <w:rsid w:val="007E4176"/>
    <w:rsid w:val="007E420C"/>
    <w:rsid w:val="007E5A43"/>
    <w:rsid w:val="007E79E1"/>
    <w:rsid w:val="007F3A7D"/>
    <w:rsid w:val="007F474C"/>
    <w:rsid w:val="007F5533"/>
    <w:rsid w:val="007F56C7"/>
    <w:rsid w:val="007F7014"/>
    <w:rsid w:val="007F7652"/>
    <w:rsid w:val="007F7F15"/>
    <w:rsid w:val="00800CFF"/>
    <w:rsid w:val="00801068"/>
    <w:rsid w:val="00802052"/>
    <w:rsid w:val="00803903"/>
    <w:rsid w:val="008057DB"/>
    <w:rsid w:val="008067D0"/>
    <w:rsid w:val="0080740E"/>
    <w:rsid w:val="00810139"/>
    <w:rsid w:val="00810915"/>
    <w:rsid w:val="00810FB4"/>
    <w:rsid w:val="00813F79"/>
    <w:rsid w:val="00814F49"/>
    <w:rsid w:val="00817437"/>
    <w:rsid w:val="00820E96"/>
    <w:rsid w:val="00821210"/>
    <w:rsid w:val="008214A1"/>
    <w:rsid w:val="0082387A"/>
    <w:rsid w:val="00824858"/>
    <w:rsid w:val="00825758"/>
    <w:rsid w:val="008259F2"/>
    <w:rsid w:val="00825BE1"/>
    <w:rsid w:val="00825E87"/>
    <w:rsid w:val="00831B49"/>
    <w:rsid w:val="008322F5"/>
    <w:rsid w:val="008418DF"/>
    <w:rsid w:val="00844CD7"/>
    <w:rsid w:val="00845709"/>
    <w:rsid w:val="008468AF"/>
    <w:rsid w:val="008469E0"/>
    <w:rsid w:val="00847B64"/>
    <w:rsid w:val="00850E4A"/>
    <w:rsid w:val="008524E1"/>
    <w:rsid w:val="00855C0A"/>
    <w:rsid w:val="00857548"/>
    <w:rsid w:val="008614F6"/>
    <w:rsid w:val="00862C99"/>
    <w:rsid w:val="008665F9"/>
    <w:rsid w:val="0086662D"/>
    <w:rsid w:val="00866C21"/>
    <w:rsid w:val="0086786F"/>
    <w:rsid w:val="00867F9F"/>
    <w:rsid w:val="00870FCC"/>
    <w:rsid w:val="00874646"/>
    <w:rsid w:val="00874ECF"/>
    <w:rsid w:val="00875A62"/>
    <w:rsid w:val="00876AD0"/>
    <w:rsid w:val="0087720E"/>
    <w:rsid w:val="00880453"/>
    <w:rsid w:val="0088107F"/>
    <w:rsid w:val="00882718"/>
    <w:rsid w:val="00882DBA"/>
    <w:rsid w:val="00883C40"/>
    <w:rsid w:val="00887E76"/>
    <w:rsid w:val="00891204"/>
    <w:rsid w:val="00894F15"/>
    <w:rsid w:val="0089521A"/>
    <w:rsid w:val="00895800"/>
    <w:rsid w:val="00895BD2"/>
    <w:rsid w:val="008962F6"/>
    <w:rsid w:val="00896753"/>
    <w:rsid w:val="00896CD4"/>
    <w:rsid w:val="008A1064"/>
    <w:rsid w:val="008A27EF"/>
    <w:rsid w:val="008A709F"/>
    <w:rsid w:val="008B1A36"/>
    <w:rsid w:val="008B2FA3"/>
    <w:rsid w:val="008B5F1C"/>
    <w:rsid w:val="008B70E6"/>
    <w:rsid w:val="008B7233"/>
    <w:rsid w:val="008B729D"/>
    <w:rsid w:val="008C0953"/>
    <w:rsid w:val="008C1A23"/>
    <w:rsid w:val="008C1C71"/>
    <w:rsid w:val="008C43BD"/>
    <w:rsid w:val="008C5028"/>
    <w:rsid w:val="008D029F"/>
    <w:rsid w:val="008D3F36"/>
    <w:rsid w:val="008D410C"/>
    <w:rsid w:val="008D4B5E"/>
    <w:rsid w:val="008D5047"/>
    <w:rsid w:val="008D535B"/>
    <w:rsid w:val="008D6E72"/>
    <w:rsid w:val="008E2B01"/>
    <w:rsid w:val="008E460D"/>
    <w:rsid w:val="008E5595"/>
    <w:rsid w:val="008E61B4"/>
    <w:rsid w:val="008E6512"/>
    <w:rsid w:val="008E777C"/>
    <w:rsid w:val="008E7C7E"/>
    <w:rsid w:val="008F0A4E"/>
    <w:rsid w:val="008F0AEA"/>
    <w:rsid w:val="008F0B41"/>
    <w:rsid w:val="008F1A71"/>
    <w:rsid w:val="008F3EDF"/>
    <w:rsid w:val="008F41BE"/>
    <w:rsid w:val="008F5F81"/>
    <w:rsid w:val="00901A17"/>
    <w:rsid w:val="00907319"/>
    <w:rsid w:val="00911D44"/>
    <w:rsid w:val="00912400"/>
    <w:rsid w:val="00915F7C"/>
    <w:rsid w:val="009167AF"/>
    <w:rsid w:val="00917AC1"/>
    <w:rsid w:val="00917FFC"/>
    <w:rsid w:val="0092190B"/>
    <w:rsid w:val="0092584B"/>
    <w:rsid w:val="0092626C"/>
    <w:rsid w:val="00926917"/>
    <w:rsid w:val="009275D6"/>
    <w:rsid w:val="009312AF"/>
    <w:rsid w:val="00931B6F"/>
    <w:rsid w:val="00932189"/>
    <w:rsid w:val="00936FE4"/>
    <w:rsid w:val="009373CD"/>
    <w:rsid w:val="0093765A"/>
    <w:rsid w:val="009410F3"/>
    <w:rsid w:val="00942391"/>
    <w:rsid w:val="0094243D"/>
    <w:rsid w:val="009428F0"/>
    <w:rsid w:val="00942CDC"/>
    <w:rsid w:val="00942F32"/>
    <w:rsid w:val="00943F57"/>
    <w:rsid w:val="009474B9"/>
    <w:rsid w:val="00947606"/>
    <w:rsid w:val="00947F2E"/>
    <w:rsid w:val="009505E0"/>
    <w:rsid w:val="009519F5"/>
    <w:rsid w:val="00956CBD"/>
    <w:rsid w:val="00957006"/>
    <w:rsid w:val="00957959"/>
    <w:rsid w:val="0096100B"/>
    <w:rsid w:val="00961EBE"/>
    <w:rsid w:val="00963891"/>
    <w:rsid w:val="0096418C"/>
    <w:rsid w:val="00964E35"/>
    <w:rsid w:val="009652B0"/>
    <w:rsid w:val="00965528"/>
    <w:rsid w:val="00966EDA"/>
    <w:rsid w:val="0097077C"/>
    <w:rsid w:val="009731EF"/>
    <w:rsid w:val="00975291"/>
    <w:rsid w:val="00975583"/>
    <w:rsid w:val="00975665"/>
    <w:rsid w:val="00977DF0"/>
    <w:rsid w:val="00982918"/>
    <w:rsid w:val="0098348A"/>
    <w:rsid w:val="00983CE8"/>
    <w:rsid w:val="009851CF"/>
    <w:rsid w:val="00992AEA"/>
    <w:rsid w:val="00992EF5"/>
    <w:rsid w:val="0099342C"/>
    <w:rsid w:val="00995B7C"/>
    <w:rsid w:val="00996BF5"/>
    <w:rsid w:val="009A0DFB"/>
    <w:rsid w:val="009A10F2"/>
    <w:rsid w:val="009A281E"/>
    <w:rsid w:val="009A6825"/>
    <w:rsid w:val="009A6B67"/>
    <w:rsid w:val="009A73BB"/>
    <w:rsid w:val="009B1047"/>
    <w:rsid w:val="009B6894"/>
    <w:rsid w:val="009B7615"/>
    <w:rsid w:val="009C08C2"/>
    <w:rsid w:val="009C1C85"/>
    <w:rsid w:val="009C422C"/>
    <w:rsid w:val="009D34F6"/>
    <w:rsid w:val="009D53B1"/>
    <w:rsid w:val="009D5DB5"/>
    <w:rsid w:val="009D67EC"/>
    <w:rsid w:val="009D6C30"/>
    <w:rsid w:val="009D7566"/>
    <w:rsid w:val="009E02D7"/>
    <w:rsid w:val="009E03C5"/>
    <w:rsid w:val="009E05F1"/>
    <w:rsid w:val="009E09BB"/>
    <w:rsid w:val="009E11A3"/>
    <w:rsid w:val="009E1319"/>
    <w:rsid w:val="009E3B41"/>
    <w:rsid w:val="009E479E"/>
    <w:rsid w:val="009E4B64"/>
    <w:rsid w:val="009E652A"/>
    <w:rsid w:val="009E69DB"/>
    <w:rsid w:val="009E7530"/>
    <w:rsid w:val="009F4650"/>
    <w:rsid w:val="009F5C8C"/>
    <w:rsid w:val="009F60C7"/>
    <w:rsid w:val="009F7C13"/>
    <w:rsid w:val="00A01B92"/>
    <w:rsid w:val="00A03D04"/>
    <w:rsid w:val="00A0541C"/>
    <w:rsid w:val="00A103DB"/>
    <w:rsid w:val="00A107ED"/>
    <w:rsid w:val="00A143C7"/>
    <w:rsid w:val="00A14763"/>
    <w:rsid w:val="00A15F5B"/>
    <w:rsid w:val="00A16676"/>
    <w:rsid w:val="00A20C0E"/>
    <w:rsid w:val="00A24FE2"/>
    <w:rsid w:val="00A25E40"/>
    <w:rsid w:val="00A2769B"/>
    <w:rsid w:val="00A3099A"/>
    <w:rsid w:val="00A3196A"/>
    <w:rsid w:val="00A31AEE"/>
    <w:rsid w:val="00A3379A"/>
    <w:rsid w:val="00A36A93"/>
    <w:rsid w:val="00A3721F"/>
    <w:rsid w:val="00A41714"/>
    <w:rsid w:val="00A41A6C"/>
    <w:rsid w:val="00A4454B"/>
    <w:rsid w:val="00A452F6"/>
    <w:rsid w:val="00A5029B"/>
    <w:rsid w:val="00A54DBA"/>
    <w:rsid w:val="00A609FF"/>
    <w:rsid w:val="00A60AA7"/>
    <w:rsid w:val="00A61293"/>
    <w:rsid w:val="00A6181B"/>
    <w:rsid w:val="00A635FB"/>
    <w:rsid w:val="00A650D0"/>
    <w:rsid w:val="00A656FA"/>
    <w:rsid w:val="00A65DD1"/>
    <w:rsid w:val="00A66C55"/>
    <w:rsid w:val="00A67D0B"/>
    <w:rsid w:val="00A70C38"/>
    <w:rsid w:val="00A711C0"/>
    <w:rsid w:val="00A71FBE"/>
    <w:rsid w:val="00A74C01"/>
    <w:rsid w:val="00A76D4E"/>
    <w:rsid w:val="00A76FB7"/>
    <w:rsid w:val="00A831E1"/>
    <w:rsid w:val="00A83381"/>
    <w:rsid w:val="00A85299"/>
    <w:rsid w:val="00A87AB5"/>
    <w:rsid w:val="00A902C2"/>
    <w:rsid w:val="00A93B84"/>
    <w:rsid w:val="00A9438A"/>
    <w:rsid w:val="00A950E2"/>
    <w:rsid w:val="00A95A1D"/>
    <w:rsid w:val="00AA23AD"/>
    <w:rsid w:val="00AA2E5B"/>
    <w:rsid w:val="00AA4A35"/>
    <w:rsid w:val="00AA5734"/>
    <w:rsid w:val="00AA6149"/>
    <w:rsid w:val="00AA644F"/>
    <w:rsid w:val="00AA6DE9"/>
    <w:rsid w:val="00AB11DC"/>
    <w:rsid w:val="00AB2DD3"/>
    <w:rsid w:val="00AB5FD0"/>
    <w:rsid w:val="00AB6044"/>
    <w:rsid w:val="00AC091E"/>
    <w:rsid w:val="00AC163B"/>
    <w:rsid w:val="00AC1F12"/>
    <w:rsid w:val="00AC2311"/>
    <w:rsid w:val="00AC3B1B"/>
    <w:rsid w:val="00AC3D6B"/>
    <w:rsid w:val="00AC4219"/>
    <w:rsid w:val="00AC446A"/>
    <w:rsid w:val="00AC67E8"/>
    <w:rsid w:val="00AC73C2"/>
    <w:rsid w:val="00AC77FB"/>
    <w:rsid w:val="00AD3C68"/>
    <w:rsid w:val="00AD5F36"/>
    <w:rsid w:val="00AD700F"/>
    <w:rsid w:val="00AE391F"/>
    <w:rsid w:val="00AE4B8B"/>
    <w:rsid w:val="00AE5C28"/>
    <w:rsid w:val="00AE6104"/>
    <w:rsid w:val="00AE700C"/>
    <w:rsid w:val="00AE71C5"/>
    <w:rsid w:val="00AF523C"/>
    <w:rsid w:val="00AF601C"/>
    <w:rsid w:val="00B03922"/>
    <w:rsid w:val="00B0398C"/>
    <w:rsid w:val="00B12185"/>
    <w:rsid w:val="00B123C4"/>
    <w:rsid w:val="00B14A86"/>
    <w:rsid w:val="00B16722"/>
    <w:rsid w:val="00B17DFC"/>
    <w:rsid w:val="00B208C0"/>
    <w:rsid w:val="00B21257"/>
    <w:rsid w:val="00B27297"/>
    <w:rsid w:val="00B276B4"/>
    <w:rsid w:val="00B278DB"/>
    <w:rsid w:val="00B3233B"/>
    <w:rsid w:val="00B336C3"/>
    <w:rsid w:val="00B3471D"/>
    <w:rsid w:val="00B35DA0"/>
    <w:rsid w:val="00B371B8"/>
    <w:rsid w:val="00B4009B"/>
    <w:rsid w:val="00B46064"/>
    <w:rsid w:val="00B4695B"/>
    <w:rsid w:val="00B47548"/>
    <w:rsid w:val="00B47550"/>
    <w:rsid w:val="00B48BA3"/>
    <w:rsid w:val="00B51A4E"/>
    <w:rsid w:val="00B51BDC"/>
    <w:rsid w:val="00B54426"/>
    <w:rsid w:val="00B561C0"/>
    <w:rsid w:val="00B60CD0"/>
    <w:rsid w:val="00B6197C"/>
    <w:rsid w:val="00B61F0A"/>
    <w:rsid w:val="00B626D5"/>
    <w:rsid w:val="00B63F45"/>
    <w:rsid w:val="00B6521A"/>
    <w:rsid w:val="00B670FF"/>
    <w:rsid w:val="00B717B9"/>
    <w:rsid w:val="00B71927"/>
    <w:rsid w:val="00B726D1"/>
    <w:rsid w:val="00B72C21"/>
    <w:rsid w:val="00B74763"/>
    <w:rsid w:val="00B773CE"/>
    <w:rsid w:val="00B829FA"/>
    <w:rsid w:val="00B82B94"/>
    <w:rsid w:val="00B8339D"/>
    <w:rsid w:val="00B85A7D"/>
    <w:rsid w:val="00B90CB9"/>
    <w:rsid w:val="00BA25D8"/>
    <w:rsid w:val="00BA4809"/>
    <w:rsid w:val="00BA4DCB"/>
    <w:rsid w:val="00BA7D2D"/>
    <w:rsid w:val="00BB00E1"/>
    <w:rsid w:val="00BB19CF"/>
    <w:rsid w:val="00BB229C"/>
    <w:rsid w:val="00BB47AE"/>
    <w:rsid w:val="00BB7421"/>
    <w:rsid w:val="00BC1879"/>
    <w:rsid w:val="00BC287B"/>
    <w:rsid w:val="00BC3F2A"/>
    <w:rsid w:val="00BC3FF5"/>
    <w:rsid w:val="00BC4270"/>
    <w:rsid w:val="00BC5BBE"/>
    <w:rsid w:val="00BC5E09"/>
    <w:rsid w:val="00BC6986"/>
    <w:rsid w:val="00BC76CE"/>
    <w:rsid w:val="00BD0021"/>
    <w:rsid w:val="00BD095D"/>
    <w:rsid w:val="00BD0EEB"/>
    <w:rsid w:val="00BD2931"/>
    <w:rsid w:val="00BD2F2A"/>
    <w:rsid w:val="00BD3C05"/>
    <w:rsid w:val="00BE1D09"/>
    <w:rsid w:val="00BE1DDD"/>
    <w:rsid w:val="00BE22B9"/>
    <w:rsid w:val="00BF13AA"/>
    <w:rsid w:val="00BF2967"/>
    <w:rsid w:val="00BF35C8"/>
    <w:rsid w:val="00BF4532"/>
    <w:rsid w:val="00BF47B9"/>
    <w:rsid w:val="00BF4E93"/>
    <w:rsid w:val="00BF6FE9"/>
    <w:rsid w:val="00C01632"/>
    <w:rsid w:val="00C0169D"/>
    <w:rsid w:val="00C02C26"/>
    <w:rsid w:val="00C076A6"/>
    <w:rsid w:val="00C07B10"/>
    <w:rsid w:val="00C07E71"/>
    <w:rsid w:val="00C10BAE"/>
    <w:rsid w:val="00C14016"/>
    <w:rsid w:val="00C14A53"/>
    <w:rsid w:val="00C15D4B"/>
    <w:rsid w:val="00C15D94"/>
    <w:rsid w:val="00C226FE"/>
    <w:rsid w:val="00C22FC5"/>
    <w:rsid w:val="00C244C6"/>
    <w:rsid w:val="00C247B3"/>
    <w:rsid w:val="00C2482C"/>
    <w:rsid w:val="00C24BDA"/>
    <w:rsid w:val="00C2551B"/>
    <w:rsid w:val="00C259C7"/>
    <w:rsid w:val="00C260C5"/>
    <w:rsid w:val="00C3000F"/>
    <w:rsid w:val="00C33E44"/>
    <w:rsid w:val="00C34CD2"/>
    <w:rsid w:val="00C35076"/>
    <w:rsid w:val="00C37C4C"/>
    <w:rsid w:val="00C4020E"/>
    <w:rsid w:val="00C4565B"/>
    <w:rsid w:val="00C4575D"/>
    <w:rsid w:val="00C45A87"/>
    <w:rsid w:val="00C462DD"/>
    <w:rsid w:val="00C50F6D"/>
    <w:rsid w:val="00C626B4"/>
    <w:rsid w:val="00C63A4C"/>
    <w:rsid w:val="00C65E27"/>
    <w:rsid w:val="00C6769E"/>
    <w:rsid w:val="00C67A2C"/>
    <w:rsid w:val="00C70D19"/>
    <w:rsid w:val="00C718B5"/>
    <w:rsid w:val="00C71F54"/>
    <w:rsid w:val="00C72299"/>
    <w:rsid w:val="00C7513D"/>
    <w:rsid w:val="00C75D1B"/>
    <w:rsid w:val="00C77E86"/>
    <w:rsid w:val="00C809BD"/>
    <w:rsid w:val="00C816A4"/>
    <w:rsid w:val="00C81EEA"/>
    <w:rsid w:val="00C85E21"/>
    <w:rsid w:val="00C868C9"/>
    <w:rsid w:val="00C877D2"/>
    <w:rsid w:val="00C91823"/>
    <w:rsid w:val="00C91979"/>
    <w:rsid w:val="00C91AE4"/>
    <w:rsid w:val="00C940E3"/>
    <w:rsid w:val="00C954CB"/>
    <w:rsid w:val="00C95EBA"/>
    <w:rsid w:val="00C96CA5"/>
    <w:rsid w:val="00C9791F"/>
    <w:rsid w:val="00CA0B34"/>
    <w:rsid w:val="00CA1538"/>
    <w:rsid w:val="00CA50AC"/>
    <w:rsid w:val="00CA6AC9"/>
    <w:rsid w:val="00CA7E64"/>
    <w:rsid w:val="00CB13E6"/>
    <w:rsid w:val="00CB1696"/>
    <w:rsid w:val="00CB2D65"/>
    <w:rsid w:val="00CB39D5"/>
    <w:rsid w:val="00CB3D1B"/>
    <w:rsid w:val="00CB547F"/>
    <w:rsid w:val="00CB6902"/>
    <w:rsid w:val="00CB6F19"/>
    <w:rsid w:val="00CC0A6E"/>
    <w:rsid w:val="00CC11F7"/>
    <w:rsid w:val="00CC3469"/>
    <w:rsid w:val="00CC4DA3"/>
    <w:rsid w:val="00CC51B2"/>
    <w:rsid w:val="00CD1413"/>
    <w:rsid w:val="00CE03A0"/>
    <w:rsid w:val="00CE2D20"/>
    <w:rsid w:val="00CE3A12"/>
    <w:rsid w:val="00CE49C9"/>
    <w:rsid w:val="00CE5E03"/>
    <w:rsid w:val="00CF07C9"/>
    <w:rsid w:val="00CF229B"/>
    <w:rsid w:val="00CF26CA"/>
    <w:rsid w:val="00CF2BA7"/>
    <w:rsid w:val="00CF331C"/>
    <w:rsid w:val="00CF3659"/>
    <w:rsid w:val="00CF4F7C"/>
    <w:rsid w:val="00CF5F80"/>
    <w:rsid w:val="00CF6511"/>
    <w:rsid w:val="00D008AB"/>
    <w:rsid w:val="00D00EAC"/>
    <w:rsid w:val="00D01011"/>
    <w:rsid w:val="00D01AE8"/>
    <w:rsid w:val="00D0333A"/>
    <w:rsid w:val="00D036A5"/>
    <w:rsid w:val="00D037E8"/>
    <w:rsid w:val="00D0477A"/>
    <w:rsid w:val="00D05AC5"/>
    <w:rsid w:val="00D071BE"/>
    <w:rsid w:val="00D10750"/>
    <w:rsid w:val="00D10F48"/>
    <w:rsid w:val="00D11CF0"/>
    <w:rsid w:val="00D12B4B"/>
    <w:rsid w:val="00D15E05"/>
    <w:rsid w:val="00D163BA"/>
    <w:rsid w:val="00D17360"/>
    <w:rsid w:val="00D202EE"/>
    <w:rsid w:val="00D224A3"/>
    <w:rsid w:val="00D24021"/>
    <w:rsid w:val="00D2414B"/>
    <w:rsid w:val="00D251B2"/>
    <w:rsid w:val="00D320BF"/>
    <w:rsid w:val="00D33016"/>
    <w:rsid w:val="00D338CF"/>
    <w:rsid w:val="00D33C2B"/>
    <w:rsid w:val="00D347E7"/>
    <w:rsid w:val="00D34945"/>
    <w:rsid w:val="00D361D4"/>
    <w:rsid w:val="00D4015E"/>
    <w:rsid w:val="00D40909"/>
    <w:rsid w:val="00D4266F"/>
    <w:rsid w:val="00D45164"/>
    <w:rsid w:val="00D45174"/>
    <w:rsid w:val="00D452E2"/>
    <w:rsid w:val="00D51183"/>
    <w:rsid w:val="00D52752"/>
    <w:rsid w:val="00D54153"/>
    <w:rsid w:val="00D54590"/>
    <w:rsid w:val="00D545CA"/>
    <w:rsid w:val="00D54FFB"/>
    <w:rsid w:val="00D5687C"/>
    <w:rsid w:val="00D60456"/>
    <w:rsid w:val="00D6159B"/>
    <w:rsid w:val="00D64258"/>
    <w:rsid w:val="00D64539"/>
    <w:rsid w:val="00D64F30"/>
    <w:rsid w:val="00D65D78"/>
    <w:rsid w:val="00D65E3C"/>
    <w:rsid w:val="00D6613E"/>
    <w:rsid w:val="00D70E53"/>
    <w:rsid w:val="00D719A8"/>
    <w:rsid w:val="00D729F5"/>
    <w:rsid w:val="00D72D60"/>
    <w:rsid w:val="00D73841"/>
    <w:rsid w:val="00D7508F"/>
    <w:rsid w:val="00D75E50"/>
    <w:rsid w:val="00D76F8D"/>
    <w:rsid w:val="00D8029A"/>
    <w:rsid w:val="00D82743"/>
    <w:rsid w:val="00D84C47"/>
    <w:rsid w:val="00D85F1E"/>
    <w:rsid w:val="00D86E97"/>
    <w:rsid w:val="00D90C82"/>
    <w:rsid w:val="00D931A1"/>
    <w:rsid w:val="00D94A02"/>
    <w:rsid w:val="00D959CD"/>
    <w:rsid w:val="00D963E0"/>
    <w:rsid w:val="00D97E56"/>
    <w:rsid w:val="00DA0F7E"/>
    <w:rsid w:val="00DA31A3"/>
    <w:rsid w:val="00DA3EBF"/>
    <w:rsid w:val="00DA476F"/>
    <w:rsid w:val="00DA592F"/>
    <w:rsid w:val="00DB0681"/>
    <w:rsid w:val="00DB1C21"/>
    <w:rsid w:val="00DB2D15"/>
    <w:rsid w:val="00DB331A"/>
    <w:rsid w:val="00DB4185"/>
    <w:rsid w:val="00DB65C1"/>
    <w:rsid w:val="00DC17B3"/>
    <w:rsid w:val="00DC1F6A"/>
    <w:rsid w:val="00DC6263"/>
    <w:rsid w:val="00DC780C"/>
    <w:rsid w:val="00DC7A02"/>
    <w:rsid w:val="00DD010D"/>
    <w:rsid w:val="00DD153F"/>
    <w:rsid w:val="00DD1542"/>
    <w:rsid w:val="00DD59B5"/>
    <w:rsid w:val="00DD718A"/>
    <w:rsid w:val="00DD75A0"/>
    <w:rsid w:val="00DD7B28"/>
    <w:rsid w:val="00DD7B83"/>
    <w:rsid w:val="00DE0B30"/>
    <w:rsid w:val="00DE1CD1"/>
    <w:rsid w:val="00DE2822"/>
    <w:rsid w:val="00DE4382"/>
    <w:rsid w:val="00DE4988"/>
    <w:rsid w:val="00DE4D80"/>
    <w:rsid w:val="00DE7E2E"/>
    <w:rsid w:val="00DF0E10"/>
    <w:rsid w:val="00DF5D6A"/>
    <w:rsid w:val="00DF76EF"/>
    <w:rsid w:val="00E01CC1"/>
    <w:rsid w:val="00E01CEB"/>
    <w:rsid w:val="00E01DDD"/>
    <w:rsid w:val="00E02FD5"/>
    <w:rsid w:val="00E03298"/>
    <w:rsid w:val="00E04C3C"/>
    <w:rsid w:val="00E06814"/>
    <w:rsid w:val="00E06B07"/>
    <w:rsid w:val="00E07118"/>
    <w:rsid w:val="00E074C9"/>
    <w:rsid w:val="00E10858"/>
    <w:rsid w:val="00E119F9"/>
    <w:rsid w:val="00E12735"/>
    <w:rsid w:val="00E15DFE"/>
    <w:rsid w:val="00E164B2"/>
    <w:rsid w:val="00E17974"/>
    <w:rsid w:val="00E17A06"/>
    <w:rsid w:val="00E22AAB"/>
    <w:rsid w:val="00E2442E"/>
    <w:rsid w:val="00E25A43"/>
    <w:rsid w:val="00E27DB3"/>
    <w:rsid w:val="00E31511"/>
    <w:rsid w:val="00E31FF9"/>
    <w:rsid w:val="00E332D2"/>
    <w:rsid w:val="00E341D8"/>
    <w:rsid w:val="00E36A7F"/>
    <w:rsid w:val="00E36B87"/>
    <w:rsid w:val="00E4169A"/>
    <w:rsid w:val="00E444F5"/>
    <w:rsid w:val="00E4474A"/>
    <w:rsid w:val="00E46115"/>
    <w:rsid w:val="00E46A1D"/>
    <w:rsid w:val="00E471F2"/>
    <w:rsid w:val="00E507FA"/>
    <w:rsid w:val="00E508FC"/>
    <w:rsid w:val="00E52720"/>
    <w:rsid w:val="00E53DF7"/>
    <w:rsid w:val="00E56338"/>
    <w:rsid w:val="00E56824"/>
    <w:rsid w:val="00E6138E"/>
    <w:rsid w:val="00E614B3"/>
    <w:rsid w:val="00E6208D"/>
    <w:rsid w:val="00E62187"/>
    <w:rsid w:val="00E63C24"/>
    <w:rsid w:val="00E6534B"/>
    <w:rsid w:val="00E6569C"/>
    <w:rsid w:val="00E65FD8"/>
    <w:rsid w:val="00E66097"/>
    <w:rsid w:val="00E714C3"/>
    <w:rsid w:val="00E72256"/>
    <w:rsid w:val="00E72B02"/>
    <w:rsid w:val="00E76529"/>
    <w:rsid w:val="00E80D59"/>
    <w:rsid w:val="00E81C8C"/>
    <w:rsid w:val="00E82909"/>
    <w:rsid w:val="00E83875"/>
    <w:rsid w:val="00E876EE"/>
    <w:rsid w:val="00E9001C"/>
    <w:rsid w:val="00E92812"/>
    <w:rsid w:val="00E9302F"/>
    <w:rsid w:val="00E94869"/>
    <w:rsid w:val="00E97737"/>
    <w:rsid w:val="00EA0B41"/>
    <w:rsid w:val="00EA0E69"/>
    <w:rsid w:val="00EA1663"/>
    <w:rsid w:val="00EA2688"/>
    <w:rsid w:val="00EA548D"/>
    <w:rsid w:val="00EB4AFF"/>
    <w:rsid w:val="00EB55A0"/>
    <w:rsid w:val="00EB5CDA"/>
    <w:rsid w:val="00EB6258"/>
    <w:rsid w:val="00EB7C9A"/>
    <w:rsid w:val="00EC1380"/>
    <w:rsid w:val="00EC1529"/>
    <w:rsid w:val="00EC1BB5"/>
    <w:rsid w:val="00EC2092"/>
    <w:rsid w:val="00EC4C20"/>
    <w:rsid w:val="00EC4C66"/>
    <w:rsid w:val="00EC5024"/>
    <w:rsid w:val="00EC7AEA"/>
    <w:rsid w:val="00ED1EE2"/>
    <w:rsid w:val="00ED2EBE"/>
    <w:rsid w:val="00ED3F92"/>
    <w:rsid w:val="00ED4B23"/>
    <w:rsid w:val="00EE0289"/>
    <w:rsid w:val="00EE0653"/>
    <w:rsid w:val="00EE0CBF"/>
    <w:rsid w:val="00EE0DD9"/>
    <w:rsid w:val="00EE1223"/>
    <w:rsid w:val="00EE7E40"/>
    <w:rsid w:val="00EF3271"/>
    <w:rsid w:val="00EF4422"/>
    <w:rsid w:val="00EF6E26"/>
    <w:rsid w:val="00EF7157"/>
    <w:rsid w:val="00F00F4F"/>
    <w:rsid w:val="00F00F6E"/>
    <w:rsid w:val="00F02557"/>
    <w:rsid w:val="00F0266A"/>
    <w:rsid w:val="00F02C56"/>
    <w:rsid w:val="00F03B97"/>
    <w:rsid w:val="00F066FE"/>
    <w:rsid w:val="00F068F7"/>
    <w:rsid w:val="00F10BA6"/>
    <w:rsid w:val="00F10CC0"/>
    <w:rsid w:val="00F12404"/>
    <w:rsid w:val="00F12A0E"/>
    <w:rsid w:val="00F12CEB"/>
    <w:rsid w:val="00F136FC"/>
    <w:rsid w:val="00F15DB1"/>
    <w:rsid w:val="00F17308"/>
    <w:rsid w:val="00F24BC2"/>
    <w:rsid w:val="00F274D7"/>
    <w:rsid w:val="00F30105"/>
    <w:rsid w:val="00F30110"/>
    <w:rsid w:val="00F33593"/>
    <w:rsid w:val="00F35351"/>
    <w:rsid w:val="00F37524"/>
    <w:rsid w:val="00F4122A"/>
    <w:rsid w:val="00F41443"/>
    <w:rsid w:val="00F4287C"/>
    <w:rsid w:val="00F42A59"/>
    <w:rsid w:val="00F4401A"/>
    <w:rsid w:val="00F441C0"/>
    <w:rsid w:val="00F45775"/>
    <w:rsid w:val="00F461BC"/>
    <w:rsid w:val="00F51D68"/>
    <w:rsid w:val="00F52986"/>
    <w:rsid w:val="00F5310E"/>
    <w:rsid w:val="00F5503C"/>
    <w:rsid w:val="00F55710"/>
    <w:rsid w:val="00F571A7"/>
    <w:rsid w:val="00F577BE"/>
    <w:rsid w:val="00F57C59"/>
    <w:rsid w:val="00F601A0"/>
    <w:rsid w:val="00F605EF"/>
    <w:rsid w:val="00F616F1"/>
    <w:rsid w:val="00F664CA"/>
    <w:rsid w:val="00F710BE"/>
    <w:rsid w:val="00F74468"/>
    <w:rsid w:val="00F74AD8"/>
    <w:rsid w:val="00F82D13"/>
    <w:rsid w:val="00F83318"/>
    <w:rsid w:val="00F85882"/>
    <w:rsid w:val="00F858A3"/>
    <w:rsid w:val="00F85A73"/>
    <w:rsid w:val="00F92DD3"/>
    <w:rsid w:val="00F935E6"/>
    <w:rsid w:val="00F94AD5"/>
    <w:rsid w:val="00F95A8B"/>
    <w:rsid w:val="00F97B5B"/>
    <w:rsid w:val="00FA17E0"/>
    <w:rsid w:val="00FA23D5"/>
    <w:rsid w:val="00FA2D80"/>
    <w:rsid w:val="00FA413C"/>
    <w:rsid w:val="00FA4AA8"/>
    <w:rsid w:val="00FA4BC1"/>
    <w:rsid w:val="00FA610D"/>
    <w:rsid w:val="00FA6687"/>
    <w:rsid w:val="00FB3A0A"/>
    <w:rsid w:val="00FB631E"/>
    <w:rsid w:val="00FB6DC4"/>
    <w:rsid w:val="00FC18E4"/>
    <w:rsid w:val="00FC2112"/>
    <w:rsid w:val="00FC3BBE"/>
    <w:rsid w:val="00FC49F1"/>
    <w:rsid w:val="00FC4E46"/>
    <w:rsid w:val="00FC74DF"/>
    <w:rsid w:val="00FD1848"/>
    <w:rsid w:val="00FD232F"/>
    <w:rsid w:val="00FD592A"/>
    <w:rsid w:val="00FD5A9F"/>
    <w:rsid w:val="00FD5F8C"/>
    <w:rsid w:val="00FD6505"/>
    <w:rsid w:val="00FE13F3"/>
    <w:rsid w:val="00FE1947"/>
    <w:rsid w:val="00FE1C60"/>
    <w:rsid w:val="00FE1E01"/>
    <w:rsid w:val="00FE209E"/>
    <w:rsid w:val="00FE3496"/>
    <w:rsid w:val="00FE4DED"/>
    <w:rsid w:val="00FE6C42"/>
    <w:rsid w:val="00FE6CB7"/>
    <w:rsid w:val="00FF0505"/>
    <w:rsid w:val="00FF08FE"/>
    <w:rsid w:val="00FF29F6"/>
    <w:rsid w:val="00FF4188"/>
    <w:rsid w:val="00FF4F7C"/>
    <w:rsid w:val="00FF5ED2"/>
    <w:rsid w:val="012712BF"/>
    <w:rsid w:val="018F2639"/>
    <w:rsid w:val="0258498A"/>
    <w:rsid w:val="029C1189"/>
    <w:rsid w:val="02DF9201"/>
    <w:rsid w:val="033CA1AB"/>
    <w:rsid w:val="03DD485C"/>
    <w:rsid w:val="03E0C5E7"/>
    <w:rsid w:val="04D90D49"/>
    <w:rsid w:val="058FEA4C"/>
    <w:rsid w:val="0674426D"/>
    <w:rsid w:val="074E6DC4"/>
    <w:rsid w:val="08173892"/>
    <w:rsid w:val="0BE757C9"/>
    <w:rsid w:val="0C21DEE7"/>
    <w:rsid w:val="0CD1D8E0"/>
    <w:rsid w:val="0E7F5452"/>
    <w:rsid w:val="0F5DE05F"/>
    <w:rsid w:val="100979A2"/>
    <w:rsid w:val="10EB9FD6"/>
    <w:rsid w:val="126E6D54"/>
    <w:rsid w:val="1363042D"/>
    <w:rsid w:val="136533E7"/>
    <w:rsid w:val="14B0E962"/>
    <w:rsid w:val="15D0ADB8"/>
    <w:rsid w:val="16A9AA1F"/>
    <w:rsid w:val="176E4293"/>
    <w:rsid w:val="17C82F42"/>
    <w:rsid w:val="1810136C"/>
    <w:rsid w:val="18DDAED8"/>
    <w:rsid w:val="19084E7A"/>
    <w:rsid w:val="19DC9ADA"/>
    <w:rsid w:val="1B4C2C49"/>
    <w:rsid w:val="1C233B0A"/>
    <w:rsid w:val="1C7E718E"/>
    <w:rsid w:val="1D019541"/>
    <w:rsid w:val="1D1182CB"/>
    <w:rsid w:val="1D129D47"/>
    <w:rsid w:val="1D4167BD"/>
    <w:rsid w:val="1D64623B"/>
    <w:rsid w:val="1DB11FFB"/>
    <w:rsid w:val="1E5DE802"/>
    <w:rsid w:val="1E83CD0B"/>
    <w:rsid w:val="1E9D65A2"/>
    <w:rsid w:val="201F9D6C"/>
    <w:rsid w:val="20A5014B"/>
    <w:rsid w:val="2285005D"/>
    <w:rsid w:val="22D768E5"/>
    <w:rsid w:val="2381DECB"/>
    <w:rsid w:val="24B7E90B"/>
    <w:rsid w:val="26B97F8D"/>
    <w:rsid w:val="27F45AC3"/>
    <w:rsid w:val="28069B74"/>
    <w:rsid w:val="288A9A56"/>
    <w:rsid w:val="29CE6D38"/>
    <w:rsid w:val="29FABE88"/>
    <w:rsid w:val="2B80E0D8"/>
    <w:rsid w:val="2BECC80B"/>
    <w:rsid w:val="2C02CBC4"/>
    <w:rsid w:val="2C74A62D"/>
    <w:rsid w:val="2CC4CA22"/>
    <w:rsid w:val="2D1CB139"/>
    <w:rsid w:val="2DDD1CBB"/>
    <w:rsid w:val="2DE5B8B6"/>
    <w:rsid w:val="2E75DCF8"/>
    <w:rsid w:val="320F2645"/>
    <w:rsid w:val="342E10A9"/>
    <w:rsid w:val="343EE20E"/>
    <w:rsid w:val="3509940C"/>
    <w:rsid w:val="3848C0A1"/>
    <w:rsid w:val="38D14188"/>
    <w:rsid w:val="3920B449"/>
    <w:rsid w:val="39E50041"/>
    <w:rsid w:val="3AD0D6A9"/>
    <w:rsid w:val="3D2206A8"/>
    <w:rsid w:val="3DEEF524"/>
    <w:rsid w:val="3EBDEF70"/>
    <w:rsid w:val="3ED1CCC6"/>
    <w:rsid w:val="3F929CBB"/>
    <w:rsid w:val="3FB51337"/>
    <w:rsid w:val="4009F916"/>
    <w:rsid w:val="40865FAE"/>
    <w:rsid w:val="41EE0D89"/>
    <w:rsid w:val="42BC0712"/>
    <w:rsid w:val="445E9092"/>
    <w:rsid w:val="45FDBFFE"/>
    <w:rsid w:val="46C27777"/>
    <w:rsid w:val="470BC125"/>
    <w:rsid w:val="4BD03B7C"/>
    <w:rsid w:val="4C6E9AA5"/>
    <w:rsid w:val="4C9BC060"/>
    <w:rsid w:val="4D725789"/>
    <w:rsid w:val="4D92B590"/>
    <w:rsid w:val="4E0A6B06"/>
    <w:rsid w:val="4E242A43"/>
    <w:rsid w:val="4E6D32CD"/>
    <w:rsid w:val="4EAB4695"/>
    <w:rsid w:val="5014B729"/>
    <w:rsid w:val="520E2376"/>
    <w:rsid w:val="52B1761F"/>
    <w:rsid w:val="52F2BFA6"/>
    <w:rsid w:val="53C2E963"/>
    <w:rsid w:val="54016666"/>
    <w:rsid w:val="54C073D4"/>
    <w:rsid w:val="555EB9C4"/>
    <w:rsid w:val="5568E30A"/>
    <w:rsid w:val="566D1473"/>
    <w:rsid w:val="57C8AF41"/>
    <w:rsid w:val="59CF1F00"/>
    <w:rsid w:val="5AB68B89"/>
    <w:rsid w:val="5B014C22"/>
    <w:rsid w:val="5C56A913"/>
    <w:rsid w:val="5C9D1C83"/>
    <w:rsid w:val="5D50A34C"/>
    <w:rsid w:val="5E125FC0"/>
    <w:rsid w:val="5E4370E5"/>
    <w:rsid w:val="60798557"/>
    <w:rsid w:val="629B9AF0"/>
    <w:rsid w:val="6333387F"/>
    <w:rsid w:val="649AB237"/>
    <w:rsid w:val="64BB4751"/>
    <w:rsid w:val="64E83A36"/>
    <w:rsid w:val="679E6FD3"/>
    <w:rsid w:val="6800FD6E"/>
    <w:rsid w:val="6819778D"/>
    <w:rsid w:val="6B55D956"/>
    <w:rsid w:val="6BDCA1C6"/>
    <w:rsid w:val="6D0ADB0D"/>
    <w:rsid w:val="6D33003A"/>
    <w:rsid w:val="6DE361B0"/>
    <w:rsid w:val="6E82681F"/>
    <w:rsid w:val="6F50331F"/>
    <w:rsid w:val="6FC110AA"/>
    <w:rsid w:val="6FF65A6A"/>
    <w:rsid w:val="70C4B2EB"/>
    <w:rsid w:val="70DD2FFB"/>
    <w:rsid w:val="712DB751"/>
    <w:rsid w:val="72275F33"/>
    <w:rsid w:val="72774647"/>
    <w:rsid w:val="732A6F57"/>
    <w:rsid w:val="73F8BBB1"/>
    <w:rsid w:val="75450C39"/>
    <w:rsid w:val="7571D8FB"/>
    <w:rsid w:val="7594F7A4"/>
    <w:rsid w:val="762AD874"/>
    <w:rsid w:val="76819121"/>
    <w:rsid w:val="76DAA7E2"/>
    <w:rsid w:val="78B16743"/>
    <w:rsid w:val="78C01CFC"/>
    <w:rsid w:val="78C55DD5"/>
    <w:rsid w:val="78CB6386"/>
    <w:rsid w:val="7937C6BE"/>
    <w:rsid w:val="794CA555"/>
    <w:rsid w:val="79955025"/>
    <w:rsid w:val="7A454A1E"/>
    <w:rsid w:val="7A4E00DD"/>
    <w:rsid w:val="7A67FD35"/>
    <w:rsid w:val="7AE8B3D9"/>
    <w:rsid w:val="7C03CD96"/>
    <w:rsid w:val="7D413E46"/>
    <w:rsid w:val="7E578576"/>
    <w:rsid w:val="7EECB9DE"/>
    <w:rsid w:val="7F00C644"/>
    <w:rsid w:val="7F18BB41"/>
    <w:rsid w:val="7F20A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ABE6"/>
  <w15:chartTrackingRefBased/>
  <w15:docId w15:val="{9DA55714-658F-4F28-A678-27E439E3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03"/>
  </w:style>
  <w:style w:type="paragraph" w:styleId="Heading1">
    <w:name w:val="heading 1"/>
    <w:aliases w:val="Outline1"/>
    <w:link w:val="Heading1Char"/>
    <w:qFormat/>
    <w:rsid w:val="005D3988"/>
    <w:pPr>
      <w:numPr>
        <w:numId w:val="2"/>
      </w:numPr>
      <w:outlineLvl w:val="0"/>
    </w:pPr>
    <w:rPr>
      <w:rFonts w:ascii="Arial" w:hAnsi="Arial" w:cs="Times New Roman"/>
      <w:b/>
      <w:kern w:val="24"/>
      <w:sz w:val="40"/>
      <w:szCs w:val="20"/>
      <w14:ligatures w14:val="none"/>
    </w:rPr>
  </w:style>
  <w:style w:type="paragraph" w:styleId="Heading2">
    <w:name w:val="heading 2"/>
    <w:aliases w:val="Outline2"/>
    <w:link w:val="Heading2Char"/>
    <w:qFormat/>
    <w:rsid w:val="005D3988"/>
    <w:pPr>
      <w:numPr>
        <w:ilvl w:val="1"/>
        <w:numId w:val="2"/>
      </w:numPr>
      <w:outlineLvl w:val="1"/>
    </w:pPr>
    <w:rPr>
      <w:rFonts w:ascii="Arial" w:hAnsi="Arial" w:cs="Times New Roman"/>
      <w:b/>
      <w:kern w:val="24"/>
      <w:sz w:val="40"/>
      <w:szCs w:val="20"/>
      <w14:ligatures w14:val="none"/>
    </w:rPr>
  </w:style>
  <w:style w:type="paragraph" w:styleId="Heading3">
    <w:name w:val="heading 3"/>
    <w:aliases w:val="Outline3"/>
    <w:link w:val="Heading3Char"/>
    <w:qFormat/>
    <w:rsid w:val="005D3988"/>
    <w:pPr>
      <w:numPr>
        <w:ilvl w:val="2"/>
        <w:numId w:val="2"/>
      </w:numPr>
      <w:outlineLvl w:val="2"/>
    </w:pPr>
    <w:rPr>
      <w:rFonts w:ascii="Arial" w:hAnsi="Arial" w:cs="Times New Roman"/>
      <w:b/>
      <w:kern w:val="24"/>
      <w:sz w:val="4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qFormat/>
    <w:rsid w:val="005D3988"/>
    <w:rPr>
      <w:rFonts w:ascii="Arial" w:eastAsia="Times New Roman" w:hAnsi="Arial" w:cs="Times New Roman"/>
      <w:kern w:val="24"/>
      <w:sz w:val="24"/>
      <w:szCs w:val="20"/>
    </w:rPr>
  </w:style>
  <w:style w:type="paragraph" w:customStyle="1" w:styleId="Bulletted">
    <w:name w:val="Bulletted"/>
    <w:rsid w:val="005D3988"/>
    <w:pPr>
      <w:numPr>
        <w:numId w:val="1"/>
      </w:numPr>
      <w:tabs>
        <w:tab w:val="left" w:pos="360"/>
        <w:tab w:val="left" w:pos="1080"/>
        <w:tab w:val="left" w:pos="1800"/>
        <w:tab w:val="left" w:pos="3240"/>
      </w:tabs>
      <w:outlineLvl w:val="0"/>
    </w:pPr>
    <w:rPr>
      <w:rFonts w:ascii="Arial" w:hAnsi="Arial" w:cs="Times New Roman"/>
      <w:b/>
      <w:kern w:val="0"/>
      <w:sz w:val="40"/>
      <w:szCs w:val="20"/>
      <w14:ligatures w14:val="none"/>
    </w:rPr>
  </w:style>
  <w:style w:type="paragraph" w:styleId="Footer">
    <w:name w:val="footer"/>
    <w:link w:val="FooterChar"/>
    <w:uiPriority w:val="99"/>
    <w:rsid w:val="005D3988"/>
    <w:pPr>
      <w:tabs>
        <w:tab w:val="center" w:pos="4153"/>
        <w:tab w:val="right" w:pos="8306"/>
      </w:tabs>
      <w:outlineLvl w:val="0"/>
    </w:pPr>
    <w:rPr>
      <w:rFonts w:ascii="Arial" w:hAnsi="Arial" w:cs="Times New Roman"/>
      <w:b/>
      <w:kern w:val="0"/>
      <w:sz w:val="40"/>
      <w:szCs w:val="20"/>
      <w14:ligatures w14:val="none"/>
    </w:rPr>
  </w:style>
  <w:style w:type="character" w:customStyle="1" w:styleId="FooterChar">
    <w:name w:val="Footer Char"/>
    <w:basedOn w:val="DefaultParagraphFont"/>
    <w:link w:val="Footer"/>
    <w:uiPriority w:val="99"/>
    <w:rsid w:val="005D3988"/>
    <w:rPr>
      <w:rFonts w:ascii="Arial" w:hAnsi="Arial" w:cs="Times New Roman"/>
      <w:b/>
      <w:kern w:val="0"/>
      <w:sz w:val="40"/>
      <w:szCs w:val="20"/>
      <w14:ligatures w14:val="none"/>
    </w:rPr>
  </w:style>
  <w:style w:type="paragraph" w:styleId="Header">
    <w:name w:val="header"/>
    <w:link w:val="HeaderChar"/>
    <w:rsid w:val="005D3988"/>
    <w:pPr>
      <w:tabs>
        <w:tab w:val="center" w:pos="4153"/>
        <w:tab w:val="right" w:pos="8306"/>
      </w:tabs>
      <w:outlineLvl w:val="0"/>
    </w:pPr>
    <w:rPr>
      <w:rFonts w:ascii="Arial" w:hAnsi="Arial" w:cs="Times New Roman"/>
      <w:b/>
      <w:kern w:val="0"/>
      <w:sz w:val="40"/>
      <w:szCs w:val="20"/>
      <w14:ligatures w14:val="none"/>
    </w:rPr>
  </w:style>
  <w:style w:type="character" w:customStyle="1" w:styleId="HeaderChar">
    <w:name w:val="Header Char"/>
    <w:basedOn w:val="DefaultParagraphFont"/>
    <w:link w:val="Header"/>
    <w:rsid w:val="005D3988"/>
    <w:rPr>
      <w:rFonts w:ascii="Arial" w:hAnsi="Arial" w:cs="Times New Roman"/>
      <w:b/>
      <w:kern w:val="0"/>
      <w:sz w:val="40"/>
      <w:szCs w:val="20"/>
      <w14:ligatures w14:val="none"/>
    </w:rPr>
  </w:style>
  <w:style w:type="character" w:customStyle="1" w:styleId="Heading1Char">
    <w:name w:val="Heading 1 Char"/>
    <w:aliases w:val="Outline1 Char"/>
    <w:basedOn w:val="DefaultParagraphFont"/>
    <w:link w:val="Heading1"/>
    <w:rsid w:val="005D3988"/>
    <w:rPr>
      <w:rFonts w:ascii="Arial" w:hAnsi="Arial" w:cs="Times New Roman"/>
      <w:b/>
      <w:kern w:val="24"/>
      <w:sz w:val="40"/>
      <w:szCs w:val="20"/>
      <w14:ligatures w14:val="none"/>
    </w:rPr>
  </w:style>
  <w:style w:type="character" w:customStyle="1" w:styleId="Heading2Char">
    <w:name w:val="Heading 2 Char"/>
    <w:aliases w:val="Outline2 Char"/>
    <w:basedOn w:val="DefaultParagraphFont"/>
    <w:link w:val="Heading2"/>
    <w:rsid w:val="005D3988"/>
    <w:rPr>
      <w:rFonts w:ascii="Arial" w:hAnsi="Arial" w:cs="Times New Roman"/>
      <w:b/>
      <w:kern w:val="24"/>
      <w:sz w:val="40"/>
      <w:szCs w:val="20"/>
      <w14:ligatures w14:val="none"/>
    </w:rPr>
  </w:style>
  <w:style w:type="character" w:customStyle="1" w:styleId="Heading3Char">
    <w:name w:val="Heading 3 Char"/>
    <w:aliases w:val="Outline3 Char"/>
    <w:basedOn w:val="DefaultParagraphFont"/>
    <w:link w:val="Heading3"/>
    <w:rsid w:val="005D3988"/>
    <w:rPr>
      <w:rFonts w:ascii="Arial" w:hAnsi="Arial" w:cs="Times New Roman"/>
      <w:b/>
      <w:kern w:val="24"/>
      <w:sz w:val="40"/>
      <w:szCs w:val="20"/>
      <w14:ligatures w14:val="none"/>
    </w:rPr>
  </w:style>
  <w:style w:type="paragraph" w:customStyle="1" w:styleId="Outline4">
    <w:name w:val="Outline4"/>
    <w:rsid w:val="005D3988"/>
    <w:pPr>
      <w:ind w:left="2160"/>
      <w:outlineLvl w:val="0"/>
    </w:pPr>
    <w:rPr>
      <w:rFonts w:ascii="Arial" w:hAnsi="Arial" w:cs="Times New Roman"/>
      <w:b/>
      <w:kern w:val="24"/>
      <w:sz w:val="40"/>
      <w:szCs w:val="20"/>
      <w14:ligatures w14:val="none"/>
    </w:rPr>
  </w:style>
  <w:style w:type="paragraph" w:customStyle="1" w:styleId="Outline5">
    <w:name w:val="Outline5"/>
    <w:rsid w:val="005D3988"/>
    <w:pPr>
      <w:ind w:left="720"/>
      <w:outlineLvl w:val="0"/>
    </w:pPr>
    <w:rPr>
      <w:rFonts w:ascii="Arial" w:hAnsi="Arial" w:cs="Times New Roman"/>
      <w:b/>
      <w:kern w:val="24"/>
      <w:sz w:val="40"/>
      <w:szCs w:val="20"/>
      <w14:ligatures w14:val="none"/>
    </w:rPr>
  </w:style>
  <w:style w:type="paragraph" w:customStyle="1" w:styleId="Outline6">
    <w:name w:val="Outline6"/>
    <w:rsid w:val="005D3988"/>
    <w:pPr>
      <w:spacing w:after="240"/>
      <w:ind w:left="2160"/>
      <w:outlineLvl w:val="0"/>
    </w:pPr>
    <w:rPr>
      <w:rFonts w:ascii="Arial" w:hAnsi="Arial" w:cs="Times New Roman"/>
      <w:b/>
      <w:kern w:val="24"/>
      <w:sz w:val="40"/>
      <w:szCs w:val="20"/>
      <w14:ligatures w14:val="none"/>
    </w:rPr>
  </w:style>
  <w:style w:type="paragraph" w:customStyle="1" w:styleId="Outline7">
    <w:name w:val="Outline7"/>
    <w:rsid w:val="005D3988"/>
    <w:pPr>
      <w:spacing w:after="240"/>
      <w:ind w:left="720"/>
      <w:outlineLvl w:val="0"/>
    </w:pPr>
    <w:rPr>
      <w:rFonts w:ascii="Arial" w:hAnsi="Arial" w:cs="Times New Roman"/>
      <w:b/>
      <w:kern w:val="24"/>
      <w:sz w:val="40"/>
      <w:szCs w:val="20"/>
      <w14:ligatures w14:val="none"/>
    </w:rPr>
  </w:style>
  <w:style w:type="character" w:styleId="CommentReference">
    <w:name w:val="annotation reference"/>
    <w:basedOn w:val="DefaultParagraphFont"/>
    <w:uiPriority w:val="99"/>
    <w:unhideWhenUsed/>
    <w:rsid w:val="0096418C"/>
    <w:rPr>
      <w:sz w:val="16"/>
      <w:szCs w:val="16"/>
    </w:rPr>
  </w:style>
  <w:style w:type="paragraph" w:styleId="CommentText">
    <w:name w:val="annotation text"/>
    <w:link w:val="CommentTextChar"/>
    <w:uiPriority w:val="99"/>
    <w:unhideWhenUsed/>
    <w:rsid w:val="0096418C"/>
    <w:rPr>
      <w:sz w:val="20"/>
    </w:rPr>
  </w:style>
  <w:style w:type="character" w:customStyle="1" w:styleId="CommentTextChar">
    <w:name w:val="Comment Text Char"/>
    <w:basedOn w:val="DefaultParagraphFont"/>
    <w:link w:val="CommentText"/>
    <w:uiPriority w:val="99"/>
    <w:rsid w:val="0096418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418C"/>
    <w:rPr>
      <w:bCs/>
    </w:rPr>
  </w:style>
  <w:style w:type="character" w:customStyle="1" w:styleId="CommentSubjectChar">
    <w:name w:val="Comment Subject Char"/>
    <w:basedOn w:val="CommentTextChar"/>
    <w:link w:val="CommentSubject"/>
    <w:uiPriority w:val="99"/>
    <w:semiHidden/>
    <w:rsid w:val="0096418C"/>
    <w:rPr>
      <w:rFonts w:ascii="Arial" w:hAnsi="Arial" w:cs="Times New Roman"/>
      <w:b/>
      <w:bCs/>
      <w:kern w:val="0"/>
      <w:sz w:val="20"/>
      <w:szCs w:val="20"/>
      <w14:ligatures w14:val="none"/>
    </w:rPr>
  </w:style>
  <w:style w:type="paragraph" w:styleId="Revision">
    <w:name w:val="Revision"/>
    <w:hidden/>
    <w:uiPriority w:val="99"/>
    <w:semiHidden/>
    <w:rsid w:val="00441906"/>
    <w:rPr>
      <w:rFonts w:ascii="Arial" w:hAnsi="Arial" w:cs="Times New Roman"/>
      <w:kern w:val="0"/>
      <w:sz w:val="24"/>
      <w:szCs w:val="20"/>
      <w14:ligatures w14: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link w:val="ListParagraphChar"/>
    <w:uiPriority w:val="34"/>
    <w:qFormat/>
    <w:rsid w:val="003204AB"/>
    <w:pPr>
      <w:ind w:left="720"/>
      <w:contextualSpacing/>
    </w:pPr>
  </w:style>
  <w:style w:type="character" w:styleId="Hyperlink">
    <w:name w:val="Hyperlink"/>
    <w:basedOn w:val="DefaultParagraphFont"/>
    <w:uiPriority w:val="99"/>
    <w:unhideWhenUsed/>
    <w:qFormat/>
    <w:rsid w:val="00FD6505"/>
    <w:rPr>
      <w:color w:val="0563C1" w:themeColor="hyperlink"/>
      <w:u w:val="single"/>
    </w:rPr>
  </w:style>
  <w:style w:type="character" w:styleId="UnresolvedMention">
    <w:name w:val="Unresolved Mention"/>
    <w:basedOn w:val="DefaultParagraphFont"/>
    <w:uiPriority w:val="99"/>
    <w:semiHidden/>
    <w:unhideWhenUsed/>
    <w:rsid w:val="00FD6505"/>
    <w:rPr>
      <w:color w:val="605E5C"/>
      <w:shd w:val="clear" w:color="auto" w:fill="E1DFDD"/>
    </w:rPr>
  </w:style>
  <w:style w:type="paragraph" w:styleId="NormalWeb">
    <w:name w:val="Normal (Web)"/>
    <w:uiPriority w:val="99"/>
    <w:unhideWhenUsed/>
    <w:rsid w:val="0088107F"/>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88107F"/>
    <w:rPr>
      <w:color w:val="954F72" w:themeColor="followedHyperlink"/>
      <w:u w:val="single"/>
    </w:rPr>
  </w:style>
  <w:style w:type="character" w:customStyle="1" w:styleId="ui-provider">
    <w:name w:val="ui-provider"/>
    <w:basedOn w:val="DefaultParagraphFont"/>
    <w:rsid w:val="00FC49F1"/>
  </w:style>
  <w:style w:type="paragraph" w:customStyle="1" w:styleId="Explanatorytext">
    <w:name w:val="Explanatory text"/>
    <w:qFormat/>
    <w:rsid w:val="00FC49F1"/>
    <w:pPr>
      <w:spacing w:after="160" w:line="259" w:lineRule="auto"/>
      <w:ind w:right="95"/>
    </w:pPr>
    <w:rPr>
      <w:rFonts w:ascii="Arial" w:eastAsiaTheme="minorHAnsi" w:hAnsi="Arial" w:cs="Arial"/>
      <w:color w:val="C00000"/>
      <w:kern w:val="0"/>
      <w:sz w:val="24"/>
      <w:szCs w:val="24"/>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605079"/>
    <w:rPr>
      <w:rFonts w:ascii="Arial" w:hAnsi="Arial" w:cs="Times New Roman"/>
      <w:kern w:val="0"/>
      <w:sz w:val="24"/>
      <w:szCs w:val="20"/>
      <w14:ligatures w14:val="none"/>
    </w:rPr>
  </w:style>
  <w:style w:type="character" w:customStyle="1" w:styleId="Heading1Char1">
    <w:name w:val="Heading 1 Char1"/>
    <w:basedOn w:val="DefaultParagraphFont"/>
    <w:rsid w:val="00444243"/>
    <w:rPr>
      <w:rFonts w:asciiTheme="majorHAnsi" w:eastAsiaTheme="majorEastAsia" w:hAnsiTheme="majorHAnsi" w:cstheme="majorBidi"/>
      <w:color w:val="2F5496" w:themeColor="accent1" w:themeShade="BF"/>
      <w:kern w:val="0"/>
      <w:sz w:val="32"/>
      <w:szCs w:val="32"/>
      <w14:ligatures w14:val="none"/>
    </w:rPr>
  </w:style>
  <w:style w:type="paragraph" w:customStyle="1" w:styleId="Head1">
    <w:name w:val="Head1"/>
    <w:basedOn w:val="Heading1"/>
    <w:link w:val="Head1Char"/>
    <w:qFormat/>
    <w:rsid w:val="009731EF"/>
    <w:pPr>
      <w:numPr>
        <w:numId w:val="0"/>
      </w:numPr>
    </w:pPr>
    <w:rPr>
      <w:rFonts w:eastAsiaTheme="minorHAnsi" w:cs="Arial"/>
      <w:bCs/>
    </w:rPr>
  </w:style>
  <w:style w:type="character" w:customStyle="1" w:styleId="Head1Char">
    <w:name w:val="Head1 Char"/>
    <w:basedOn w:val="Heading1Char1"/>
    <w:link w:val="Head1"/>
    <w:rsid w:val="009731EF"/>
    <w:rPr>
      <w:rFonts w:ascii="Arial" w:eastAsiaTheme="minorHAnsi" w:hAnsi="Arial" w:cs="Arial"/>
      <w:b/>
      <w:bCs/>
      <w:color w:val="2F5496" w:themeColor="accent1" w:themeShade="BF"/>
      <w:kern w:val="24"/>
      <w:sz w:val="40"/>
      <w:szCs w:val="20"/>
      <w14:ligatures w14:val="none"/>
    </w:rPr>
  </w:style>
  <w:style w:type="paragraph" w:customStyle="1" w:styleId="Head2">
    <w:name w:val="Head 2"/>
    <w:qFormat/>
    <w:rsid w:val="00D01011"/>
    <w:pPr>
      <w:outlineLvl w:val="1"/>
    </w:pPr>
    <w:rPr>
      <w:rFonts w:ascii="Arial" w:hAnsi="Arial" w:cs="Arial"/>
      <w:b/>
      <w:bCs/>
      <w:sz w:val="32"/>
      <w:szCs w:val="32"/>
    </w:rPr>
  </w:style>
  <w:style w:type="character" w:customStyle="1" w:styleId="Heading2Char1">
    <w:name w:val="Heading 2 Char1"/>
    <w:basedOn w:val="DefaultParagraphFont"/>
    <w:semiHidden/>
    <w:rsid w:val="00444243"/>
    <w:rPr>
      <w:rFonts w:asciiTheme="majorHAnsi" w:eastAsiaTheme="majorEastAsia" w:hAnsiTheme="majorHAnsi" w:cstheme="majorBidi"/>
      <w:color w:val="2F5496" w:themeColor="accent1" w:themeShade="BF"/>
      <w:kern w:val="0"/>
      <w:sz w:val="26"/>
      <w:szCs w:val="26"/>
      <w14:ligatures w14:val="none"/>
    </w:rPr>
  </w:style>
  <w:style w:type="paragraph" w:customStyle="1" w:styleId="Head3">
    <w:name w:val="Head 3"/>
    <w:basedOn w:val="Heading3"/>
    <w:qFormat/>
    <w:rsid w:val="009731EF"/>
    <w:pPr>
      <w:numPr>
        <w:ilvl w:val="0"/>
        <w:numId w:val="0"/>
      </w:numPr>
    </w:pPr>
    <w:rPr>
      <w:rFonts w:eastAsiaTheme="minorHAnsi" w:cs="Arial"/>
      <w:bCs/>
      <w:sz w:val="24"/>
      <w:szCs w:val="24"/>
    </w:rPr>
  </w:style>
  <w:style w:type="paragraph" w:customStyle="1" w:styleId="Norm">
    <w:name w:val="Norm"/>
    <w:rsid w:val="009731EF"/>
    <w:rPr>
      <w:rFonts w:ascii="Arial" w:eastAsiaTheme="majorEastAsia" w:hAnsi="Arial" w:cstheme="majorBidi"/>
      <w:szCs w:val="28"/>
    </w:rPr>
  </w:style>
  <w:style w:type="paragraph" w:customStyle="1" w:styleId="Headings">
    <w:name w:val="Headings"/>
    <w:basedOn w:val="Heading1"/>
    <w:link w:val="HeadingsChar"/>
    <w:autoRedefine/>
    <w:qFormat/>
    <w:rsid w:val="005D3988"/>
    <w:pPr>
      <w:numPr>
        <w:numId w:val="0"/>
      </w:numPr>
    </w:pPr>
    <w:rPr>
      <w:b w:val="0"/>
      <w:bCs/>
      <w:u w:val="single"/>
    </w:rPr>
  </w:style>
  <w:style w:type="character" w:customStyle="1" w:styleId="HeadingsChar">
    <w:name w:val="Headings Char"/>
    <w:basedOn w:val="DefaultParagraphFont"/>
    <w:link w:val="Headings"/>
    <w:rsid w:val="005D3988"/>
    <w:rPr>
      <w:rFonts w:ascii="Arial" w:hAnsi="Arial" w:cs="Times New Roman"/>
      <w:bCs/>
      <w:kern w:val="24"/>
      <w:sz w:val="40"/>
      <w:szCs w:val="20"/>
      <w:u w:val="single"/>
      <w14:ligatures w14:val="none"/>
    </w:rPr>
  </w:style>
  <w:style w:type="paragraph" w:customStyle="1" w:styleId="SubHeading">
    <w:name w:val="Sub Heading"/>
    <w:basedOn w:val="Heading2"/>
    <w:link w:val="SubHeadingChar"/>
    <w:autoRedefine/>
    <w:qFormat/>
    <w:rsid w:val="005D3988"/>
    <w:pPr>
      <w:numPr>
        <w:ilvl w:val="0"/>
        <w:numId w:val="0"/>
      </w:numPr>
    </w:pPr>
    <w:rPr>
      <w:b w:val="0"/>
      <w:bCs/>
      <w:u w:val="single"/>
    </w:rPr>
  </w:style>
  <w:style w:type="character" w:customStyle="1" w:styleId="SubHeadingChar">
    <w:name w:val="Sub Heading Char"/>
    <w:basedOn w:val="Heading2Char"/>
    <w:link w:val="SubHeading"/>
    <w:rsid w:val="005D3988"/>
    <w:rPr>
      <w:rFonts w:ascii="Arial" w:hAnsi="Arial" w:cs="Times New Roman"/>
      <w:b w:val="0"/>
      <w:bCs/>
      <w:kern w:val="24"/>
      <w:sz w:val="40"/>
      <w:szCs w:val="20"/>
      <w:u w:val="single"/>
      <w14:ligatures w14:val="none"/>
    </w:rPr>
  </w:style>
  <w:style w:type="paragraph" w:styleId="FootnoteText">
    <w:name w:val="footnote text"/>
    <w:basedOn w:val="Normal"/>
    <w:link w:val="FootnoteTextChar"/>
    <w:uiPriority w:val="99"/>
    <w:unhideWhenUsed/>
    <w:rsid w:val="007D4D73"/>
    <w:rPr>
      <w:sz w:val="20"/>
      <w:szCs w:val="20"/>
    </w:rPr>
  </w:style>
  <w:style w:type="character" w:customStyle="1" w:styleId="FootnoteTextChar">
    <w:name w:val="Footnote Text Char"/>
    <w:basedOn w:val="DefaultParagraphFont"/>
    <w:link w:val="FootnoteText"/>
    <w:uiPriority w:val="99"/>
    <w:rsid w:val="007D4D73"/>
    <w:rPr>
      <w:sz w:val="20"/>
      <w:szCs w:val="20"/>
    </w:rPr>
  </w:style>
  <w:style w:type="character" w:styleId="FootnoteReference">
    <w:name w:val="footnote reference"/>
    <w:aliases w:val="Footnote symbol,Footnote,Voetnootverwijzing,Times 10 Point,Exposant 3 Point,Appel note de bas de p,Footnote Reference Superscript,number,Ref,de nota al pie,Ref1,de nota al pie1,Ref2,de nota al pie2,Ref11,de nota al pie11,BVI fnr"/>
    <w:basedOn w:val="DefaultParagraphFont"/>
    <w:uiPriority w:val="99"/>
    <w:unhideWhenUsed/>
    <w:qFormat/>
    <w:rsid w:val="007D4D73"/>
    <w:rPr>
      <w:vertAlign w:val="superscript"/>
    </w:rPr>
  </w:style>
  <w:style w:type="table" w:styleId="TableGrid">
    <w:name w:val="Table Grid"/>
    <w:basedOn w:val="TableNormal"/>
    <w:uiPriority w:val="39"/>
    <w:rsid w:val="00F4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4D80"/>
  </w:style>
  <w:style w:type="character" w:customStyle="1" w:styleId="eop">
    <w:name w:val="eop"/>
    <w:basedOn w:val="DefaultParagraphFont"/>
    <w:rsid w:val="00DE4D80"/>
  </w:style>
  <w:style w:type="paragraph" w:styleId="Caption">
    <w:name w:val="caption"/>
    <w:basedOn w:val="Normal"/>
    <w:next w:val="Normal"/>
    <w:uiPriority w:val="35"/>
    <w:unhideWhenUsed/>
    <w:qFormat/>
    <w:rsid w:val="00B276B4"/>
    <w:pPr>
      <w:spacing w:after="200"/>
    </w:pPr>
    <w:rPr>
      <w:rFonts w:ascii="Arial" w:hAnsi="Arial"/>
      <w:b/>
      <w:iCs/>
      <w:color w:val="44546A" w:themeColor="text2"/>
      <w:szCs w:val="18"/>
    </w:rPr>
  </w:style>
  <w:style w:type="character" w:customStyle="1" w:styleId="fontstyle11">
    <w:name w:val="fontstyle11"/>
    <w:basedOn w:val="DefaultParagraphFont"/>
    <w:rsid w:val="00580977"/>
    <w:rPr>
      <w:rFonts w:ascii="ArialMT" w:hAnsi="ArialMT" w:hint="default"/>
      <w:b w:val="0"/>
      <w:bCs w:val="0"/>
      <w:i w:val="0"/>
      <w:iCs w:val="0"/>
      <w:color w:val="000000"/>
      <w:sz w:val="24"/>
      <w:szCs w:val="24"/>
    </w:rPr>
  </w:style>
  <w:style w:type="paragraph" w:styleId="NoSpacing">
    <w:name w:val="No Spacing"/>
    <w:uiPriority w:val="1"/>
    <w:qFormat/>
    <w:rsid w:val="00580977"/>
    <w:rPr>
      <w:rFonts w:eastAsiaTheme="minorHAnsi"/>
      <w:kern w:val="0"/>
      <w14:ligatures w14:val="none"/>
    </w:rPr>
  </w:style>
  <w:style w:type="character" w:styleId="Mention">
    <w:name w:val="Mention"/>
    <w:basedOn w:val="DefaultParagraphFont"/>
    <w:uiPriority w:val="99"/>
    <w:unhideWhenUsed/>
    <w:rsid w:val="007F56C7"/>
    <w:rPr>
      <w:color w:val="2B579A"/>
      <w:shd w:val="clear" w:color="auto" w:fill="E1DFDD"/>
    </w:rPr>
  </w:style>
  <w:style w:type="character" w:customStyle="1" w:styleId="cf01">
    <w:name w:val="cf01"/>
    <w:basedOn w:val="DefaultParagraphFont"/>
    <w:rsid w:val="001A5C3B"/>
    <w:rPr>
      <w:rFonts w:ascii="Segoe UI" w:hAnsi="Segoe UI" w:cs="Segoe UI" w:hint="default"/>
      <w:sz w:val="18"/>
      <w:szCs w:val="18"/>
    </w:rPr>
  </w:style>
  <w:style w:type="paragraph" w:styleId="TOCHeading">
    <w:name w:val="TOC Heading"/>
    <w:basedOn w:val="Heading1"/>
    <w:next w:val="Normal"/>
    <w:uiPriority w:val="39"/>
    <w:unhideWhenUsed/>
    <w:qFormat/>
    <w:rsid w:val="005927ED"/>
    <w:pPr>
      <w:keepNext/>
      <w:keepLines/>
      <w:numPr>
        <w:numId w:val="0"/>
      </w:numPr>
      <w:spacing w:before="240" w:line="259" w:lineRule="auto"/>
      <w:outlineLvl w:val="9"/>
    </w:pPr>
    <w:rPr>
      <w:rFonts w:asciiTheme="majorHAnsi" w:eastAsiaTheme="majorEastAsia" w:hAnsiTheme="majorHAnsi" w:cstheme="majorBidi"/>
      <w:b w:val="0"/>
      <w:color w:val="2F5496" w:themeColor="accent1" w:themeShade="BF"/>
      <w:kern w:val="0"/>
      <w:sz w:val="32"/>
      <w:szCs w:val="32"/>
      <w:lang w:eastAsia="en-GB"/>
    </w:rPr>
  </w:style>
  <w:style w:type="paragraph" w:styleId="TOC1">
    <w:name w:val="toc 1"/>
    <w:basedOn w:val="Normal"/>
    <w:next w:val="Normal"/>
    <w:autoRedefine/>
    <w:uiPriority w:val="39"/>
    <w:unhideWhenUsed/>
    <w:rsid w:val="005927ED"/>
    <w:pPr>
      <w:spacing w:after="100"/>
    </w:pPr>
  </w:style>
  <w:style w:type="paragraph" w:styleId="TOC2">
    <w:name w:val="toc 2"/>
    <w:basedOn w:val="Normal"/>
    <w:next w:val="Normal"/>
    <w:autoRedefine/>
    <w:uiPriority w:val="39"/>
    <w:unhideWhenUsed/>
    <w:rsid w:val="005927ED"/>
    <w:pPr>
      <w:spacing w:after="100"/>
      <w:ind w:left="220"/>
    </w:pPr>
  </w:style>
  <w:style w:type="paragraph" w:styleId="TOC3">
    <w:name w:val="toc 3"/>
    <w:basedOn w:val="Normal"/>
    <w:next w:val="Normal"/>
    <w:autoRedefine/>
    <w:uiPriority w:val="39"/>
    <w:unhideWhenUsed/>
    <w:rsid w:val="005927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876">
      <w:bodyDiv w:val="1"/>
      <w:marLeft w:val="0"/>
      <w:marRight w:val="0"/>
      <w:marTop w:val="0"/>
      <w:marBottom w:val="0"/>
      <w:divBdr>
        <w:top w:val="none" w:sz="0" w:space="0" w:color="auto"/>
        <w:left w:val="none" w:sz="0" w:space="0" w:color="auto"/>
        <w:bottom w:val="none" w:sz="0" w:space="0" w:color="auto"/>
        <w:right w:val="none" w:sz="0" w:space="0" w:color="auto"/>
      </w:divBdr>
    </w:div>
    <w:div w:id="27344288">
      <w:bodyDiv w:val="1"/>
      <w:marLeft w:val="0"/>
      <w:marRight w:val="0"/>
      <w:marTop w:val="0"/>
      <w:marBottom w:val="0"/>
      <w:divBdr>
        <w:top w:val="none" w:sz="0" w:space="0" w:color="auto"/>
        <w:left w:val="none" w:sz="0" w:space="0" w:color="auto"/>
        <w:bottom w:val="none" w:sz="0" w:space="0" w:color="auto"/>
        <w:right w:val="none" w:sz="0" w:space="0" w:color="auto"/>
      </w:divBdr>
    </w:div>
    <w:div w:id="120733709">
      <w:bodyDiv w:val="1"/>
      <w:marLeft w:val="0"/>
      <w:marRight w:val="0"/>
      <w:marTop w:val="0"/>
      <w:marBottom w:val="0"/>
      <w:divBdr>
        <w:top w:val="none" w:sz="0" w:space="0" w:color="auto"/>
        <w:left w:val="none" w:sz="0" w:space="0" w:color="auto"/>
        <w:bottom w:val="none" w:sz="0" w:space="0" w:color="auto"/>
        <w:right w:val="none" w:sz="0" w:space="0" w:color="auto"/>
      </w:divBdr>
    </w:div>
    <w:div w:id="215362421">
      <w:bodyDiv w:val="1"/>
      <w:marLeft w:val="0"/>
      <w:marRight w:val="0"/>
      <w:marTop w:val="0"/>
      <w:marBottom w:val="0"/>
      <w:divBdr>
        <w:top w:val="none" w:sz="0" w:space="0" w:color="auto"/>
        <w:left w:val="none" w:sz="0" w:space="0" w:color="auto"/>
        <w:bottom w:val="none" w:sz="0" w:space="0" w:color="auto"/>
        <w:right w:val="none" w:sz="0" w:space="0" w:color="auto"/>
      </w:divBdr>
      <w:divsChild>
        <w:div w:id="7290724">
          <w:marLeft w:val="0"/>
          <w:marRight w:val="0"/>
          <w:marTop w:val="0"/>
          <w:marBottom w:val="0"/>
          <w:divBdr>
            <w:top w:val="none" w:sz="0" w:space="0" w:color="auto"/>
            <w:left w:val="none" w:sz="0" w:space="0" w:color="auto"/>
            <w:bottom w:val="none" w:sz="0" w:space="0" w:color="auto"/>
            <w:right w:val="none" w:sz="0" w:space="0" w:color="auto"/>
          </w:divBdr>
        </w:div>
        <w:div w:id="297998089">
          <w:marLeft w:val="0"/>
          <w:marRight w:val="0"/>
          <w:marTop w:val="0"/>
          <w:marBottom w:val="0"/>
          <w:divBdr>
            <w:top w:val="none" w:sz="0" w:space="0" w:color="auto"/>
            <w:left w:val="none" w:sz="0" w:space="0" w:color="auto"/>
            <w:bottom w:val="none" w:sz="0" w:space="0" w:color="auto"/>
            <w:right w:val="none" w:sz="0" w:space="0" w:color="auto"/>
          </w:divBdr>
        </w:div>
        <w:div w:id="437213303">
          <w:marLeft w:val="0"/>
          <w:marRight w:val="0"/>
          <w:marTop w:val="0"/>
          <w:marBottom w:val="0"/>
          <w:divBdr>
            <w:top w:val="none" w:sz="0" w:space="0" w:color="auto"/>
            <w:left w:val="none" w:sz="0" w:space="0" w:color="auto"/>
            <w:bottom w:val="none" w:sz="0" w:space="0" w:color="auto"/>
            <w:right w:val="none" w:sz="0" w:space="0" w:color="auto"/>
          </w:divBdr>
        </w:div>
        <w:div w:id="479612717">
          <w:marLeft w:val="0"/>
          <w:marRight w:val="0"/>
          <w:marTop w:val="0"/>
          <w:marBottom w:val="0"/>
          <w:divBdr>
            <w:top w:val="none" w:sz="0" w:space="0" w:color="auto"/>
            <w:left w:val="none" w:sz="0" w:space="0" w:color="auto"/>
            <w:bottom w:val="none" w:sz="0" w:space="0" w:color="auto"/>
            <w:right w:val="none" w:sz="0" w:space="0" w:color="auto"/>
          </w:divBdr>
        </w:div>
        <w:div w:id="680814516">
          <w:marLeft w:val="0"/>
          <w:marRight w:val="0"/>
          <w:marTop w:val="0"/>
          <w:marBottom w:val="0"/>
          <w:divBdr>
            <w:top w:val="none" w:sz="0" w:space="0" w:color="auto"/>
            <w:left w:val="none" w:sz="0" w:space="0" w:color="auto"/>
            <w:bottom w:val="none" w:sz="0" w:space="0" w:color="auto"/>
            <w:right w:val="none" w:sz="0" w:space="0" w:color="auto"/>
          </w:divBdr>
        </w:div>
        <w:div w:id="912935230">
          <w:marLeft w:val="0"/>
          <w:marRight w:val="0"/>
          <w:marTop w:val="0"/>
          <w:marBottom w:val="0"/>
          <w:divBdr>
            <w:top w:val="none" w:sz="0" w:space="0" w:color="auto"/>
            <w:left w:val="none" w:sz="0" w:space="0" w:color="auto"/>
            <w:bottom w:val="none" w:sz="0" w:space="0" w:color="auto"/>
            <w:right w:val="none" w:sz="0" w:space="0" w:color="auto"/>
          </w:divBdr>
        </w:div>
        <w:div w:id="1629434607">
          <w:marLeft w:val="0"/>
          <w:marRight w:val="0"/>
          <w:marTop w:val="0"/>
          <w:marBottom w:val="0"/>
          <w:divBdr>
            <w:top w:val="none" w:sz="0" w:space="0" w:color="auto"/>
            <w:left w:val="none" w:sz="0" w:space="0" w:color="auto"/>
            <w:bottom w:val="none" w:sz="0" w:space="0" w:color="auto"/>
            <w:right w:val="none" w:sz="0" w:space="0" w:color="auto"/>
          </w:divBdr>
        </w:div>
        <w:div w:id="1931968078">
          <w:marLeft w:val="0"/>
          <w:marRight w:val="0"/>
          <w:marTop w:val="0"/>
          <w:marBottom w:val="0"/>
          <w:divBdr>
            <w:top w:val="none" w:sz="0" w:space="0" w:color="auto"/>
            <w:left w:val="none" w:sz="0" w:space="0" w:color="auto"/>
            <w:bottom w:val="none" w:sz="0" w:space="0" w:color="auto"/>
            <w:right w:val="none" w:sz="0" w:space="0" w:color="auto"/>
          </w:divBdr>
        </w:div>
        <w:div w:id="2050449415">
          <w:marLeft w:val="0"/>
          <w:marRight w:val="0"/>
          <w:marTop w:val="0"/>
          <w:marBottom w:val="0"/>
          <w:divBdr>
            <w:top w:val="none" w:sz="0" w:space="0" w:color="auto"/>
            <w:left w:val="none" w:sz="0" w:space="0" w:color="auto"/>
            <w:bottom w:val="none" w:sz="0" w:space="0" w:color="auto"/>
            <w:right w:val="none" w:sz="0" w:space="0" w:color="auto"/>
          </w:divBdr>
        </w:div>
      </w:divsChild>
    </w:div>
    <w:div w:id="293219053">
      <w:bodyDiv w:val="1"/>
      <w:marLeft w:val="0"/>
      <w:marRight w:val="0"/>
      <w:marTop w:val="0"/>
      <w:marBottom w:val="0"/>
      <w:divBdr>
        <w:top w:val="none" w:sz="0" w:space="0" w:color="auto"/>
        <w:left w:val="none" w:sz="0" w:space="0" w:color="auto"/>
        <w:bottom w:val="none" w:sz="0" w:space="0" w:color="auto"/>
        <w:right w:val="none" w:sz="0" w:space="0" w:color="auto"/>
      </w:divBdr>
    </w:div>
    <w:div w:id="320892571">
      <w:bodyDiv w:val="1"/>
      <w:marLeft w:val="0"/>
      <w:marRight w:val="0"/>
      <w:marTop w:val="0"/>
      <w:marBottom w:val="0"/>
      <w:divBdr>
        <w:top w:val="none" w:sz="0" w:space="0" w:color="auto"/>
        <w:left w:val="none" w:sz="0" w:space="0" w:color="auto"/>
        <w:bottom w:val="none" w:sz="0" w:space="0" w:color="auto"/>
        <w:right w:val="none" w:sz="0" w:space="0" w:color="auto"/>
      </w:divBdr>
    </w:div>
    <w:div w:id="357971801">
      <w:bodyDiv w:val="1"/>
      <w:marLeft w:val="0"/>
      <w:marRight w:val="0"/>
      <w:marTop w:val="0"/>
      <w:marBottom w:val="0"/>
      <w:divBdr>
        <w:top w:val="none" w:sz="0" w:space="0" w:color="auto"/>
        <w:left w:val="none" w:sz="0" w:space="0" w:color="auto"/>
        <w:bottom w:val="none" w:sz="0" w:space="0" w:color="auto"/>
        <w:right w:val="none" w:sz="0" w:space="0" w:color="auto"/>
      </w:divBdr>
    </w:div>
    <w:div w:id="459150841">
      <w:bodyDiv w:val="1"/>
      <w:marLeft w:val="0"/>
      <w:marRight w:val="0"/>
      <w:marTop w:val="0"/>
      <w:marBottom w:val="0"/>
      <w:divBdr>
        <w:top w:val="none" w:sz="0" w:space="0" w:color="auto"/>
        <w:left w:val="none" w:sz="0" w:space="0" w:color="auto"/>
        <w:bottom w:val="none" w:sz="0" w:space="0" w:color="auto"/>
        <w:right w:val="none" w:sz="0" w:space="0" w:color="auto"/>
      </w:divBdr>
      <w:divsChild>
        <w:div w:id="3241046">
          <w:marLeft w:val="0"/>
          <w:marRight w:val="0"/>
          <w:marTop w:val="0"/>
          <w:marBottom w:val="0"/>
          <w:divBdr>
            <w:top w:val="none" w:sz="0" w:space="0" w:color="auto"/>
            <w:left w:val="none" w:sz="0" w:space="0" w:color="auto"/>
            <w:bottom w:val="none" w:sz="0" w:space="0" w:color="auto"/>
            <w:right w:val="none" w:sz="0" w:space="0" w:color="auto"/>
          </w:divBdr>
        </w:div>
        <w:div w:id="35736213">
          <w:marLeft w:val="0"/>
          <w:marRight w:val="0"/>
          <w:marTop w:val="0"/>
          <w:marBottom w:val="0"/>
          <w:divBdr>
            <w:top w:val="none" w:sz="0" w:space="0" w:color="auto"/>
            <w:left w:val="none" w:sz="0" w:space="0" w:color="auto"/>
            <w:bottom w:val="none" w:sz="0" w:space="0" w:color="auto"/>
            <w:right w:val="none" w:sz="0" w:space="0" w:color="auto"/>
          </w:divBdr>
        </w:div>
        <w:div w:id="183057892">
          <w:marLeft w:val="0"/>
          <w:marRight w:val="0"/>
          <w:marTop w:val="0"/>
          <w:marBottom w:val="0"/>
          <w:divBdr>
            <w:top w:val="none" w:sz="0" w:space="0" w:color="auto"/>
            <w:left w:val="none" w:sz="0" w:space="0" w:color="auto"/>
            <w:bottom w:val="none" w:sz="0" w:space="0" w:color="auto"/>
            <w:right w:val="none" w:sz="0" w:space="0" w:color="auto"/>
          </w:divBdr>
        </w:div>
        <w:div w:id="321396582">
          <w:marLeft w:val="0"/>
          <w:marRight w:val="0"/>
          <w:marTop w:val="0"/>
          <w:marBottom w:val="0"/>
          <w:divBdr>
            <w:top w:val="none" w:sz="0" w:space="0" w:color="auto"/>
            <w:left w:val="none" w:sz="0" w:space="0" w:color="auto"/>
            <w:bottom w:val="none" w:sz="0" w:space="0" w:color="auto"/>
            <w:right w:val="none" w:sz="0" w:space="0" w:color="auto"/>
          </w:divBdr>
        </w:div>
        <w:div w:id="360521843">
          <w:marLeft w:val="0"/>
          <w:marRight w:val="0"/>
          <w:marTop w:val="0"/>
          <w:marBottom w:val="0"/>
          <w:divBdr>
            <w:top w:val="none" w:sz="0" w:space="0" w:color="auto"/>
            <w:left w:val="none" w:sz="0" w:space="0" w:color="auto"/>
            <w:bottom w:val="none" w:sz="0" w:space="0" w:color="auto"/>
            <w:right w:val="none" w:sz="0" w:space="0" w:color="auto"/>
          </w:divBdr>
        </w:div>
        <w:div w:id="371462269">
          <w:marLeft w:val="0"/>
          <w:marRight w:val="0"/>
          <w:marTop w:val="0"/>
          <w:marBottom w:val="0"/>
          <w:divBdr>
            <w:top w:val="none" w:sz="0" w:space="0" w:color="auto"/>
            <w:left w:val="none" w:sz="0" w:space="0" w:color="auto"/>
            <w:bottom w:val="none" w:sz="0" w:space="0" w:color="auto"/>
            <w:right w:val="none" w:sz="0" w:space="0" w:color="auto"/>
          </w:divBdr>
        </w:div>
        <w:div w:id="502403758">
          <w:marLeft w:val="0"/>
          <w:marRight w:val="0"/>
          <w:marTop w:val="0"/>
          <w:marBottom w:val="0"/>
          <w:divBdr>
            <w:top w:val="none" w:sz="0" w:space="0" w:color="auto"/>
            <w:left w:val="none" w:sz="0" w:space="0" w:color="auto"/>
            <w:bottom w:val="none" w:sz="0" w:space="0" w:color="auto"/>
            <w:right w:val="none" w:sz="0" w:space="0" w:color="auto"/>
          </w:divBdr>
        </w:div>
        <w:div w:id="720446995">
          <w:marLeft w:val="0"/>
          <w:marRight w:val="0"/>
          <w:marTop w:val="0"/>
          <w:marBottom w:val="0"/>
          <w:divBdr>
            <w:top w:val="none" w:sz="0" w:space="0" w:color="auto"/>
            <w:left w:val="none" w:sz="0" w:space="0" w:color="auto"/>
            <w:bottom w:val="none" w:sz="0" w:space="0" w:color="auto"/>
            <w:right w:val="none" w:sz="0" w:space="0" w:color="auto"/>
          </w:divBdr>
        </w:div>
        <w:div w:id="788284627">
          <w:marLeft w:val="0"/>
          <w:marRight w:val="0"/>
          <w:marTop w:val="0"/>
          <w:marBottom w:val="0"/>
          <w:divBdr>
            <w:top w:val="none" w:sz="0" w:space="0" w:color="auto"/>
            <w:left w:val="none" w:sz="0" w:space="0" w:color="auto"/>
            <w:bottom w:val="none" w:sz="0" w:space="0" w:color="auto"/>
            <w:right w:val="none" w:sz="0" w:space="0" w:color="auto"/>
          </w:divBdr>
        </w:div>
        <w:div w:id="797800881">
          <w:marLeft w:val="0"/>
          <w:marRight w:val="0"/>
          <w:marTop w:val="0"/>
          <w:marBottom w:val="0"/>
          <w:divBdr>
            <w:top w:val="none" w:sz="0" w:space="0" w:color="auto"/>
            <w:left w:val="none" w:sz="0" w:space="0" w:color="auto"/>
            <w:bottom w:val="none" w:sz="0" w:space="0" w:color="auto"/>
            <w:right w:val="none" w:sz="0" w:space="0" w:color="auto"/>
          </w:divBdr>
        </w:div>
        <w:div w:id="872961810">
          <w:marLeft w:val="0"/>
          <w:marRight w:val="0"/>
          <w:marTop w:val="0"/>
          <w:marBottom w:val="0"/>
          <w:divBdr>
            <w:top w:val="none" w:sz="0" w:space="0" w:color="auto"/>
            <w:left w:val="none" w:sz="0" w:space="0" w:color="auto"/>
            <w:bottom w:val="none" w:sz="0" w:space="0" w:color="auto"/>
            <w:right w:val="none" w:sz="0" w:space="0" w:color="auto"/>
          </w:divBdr>
        </w:div>
        <w:div w:id="984629326">
          <w:marLeft w:val="0"/>
          <w:marRight w:val="0"/>
          <w:marTop w:val="0"/>
          <w:marBottom w:val="0"/>
          <w:divBdr>
            <w:top w:val="none" w:sz="0" w:space="0" w:color="auto"/>
            <w:left w:val="none" w:sz="0" w:space="0" w:color="auto"/>
            <w:bottom w:val="none" w:sz="0" w:space="0" w:color="auto"/>
            <w:right w:val="none" w:sz="0" w:space="0" w:color="auto"/>
          </w:divBdr>
        </w:div>
        <w:div w:id="1054500532">
          <w:marLeft w:val="0"/>
          <w:marRight w:val="0"/>
          <w:marTop w:val="0"/>
          <w:marBottom w:val="0"/>
          <w:divBdr>
            <w:top w:val="none" w:sz="0" w:space="0" w:color="auto"/>
            <w:left w:val="none" w:sz="0" w:space="0" w:color="auto"/>
            <w:bottom w:val="none" w:sz="0" w:space="0" w:color="auto"/>
            <w:right w:val="none" w:sz="0" w:space="0" w:color="auto"/>
          </w:divBdr>
        </w:div>
        <w:div w:id="1122306827">
          <w:marLeft w:val="0"/>
          <w:marRight w:val="0"/>
          <w:marTop w:val="0"/>
          <w:marBottom w:val="0"/>
          <w:divBdr>
            <w:top w:val="none" w:sz="0" w:space="0" w:color="auto"/>
            <w:left w:val="none" w:sz="0" w:space="0" w:color="auto"/>
            <w:bottom w:val="none" w:sz="0" w:space="0" w:color="auto"/>
            <w:right w:val="none" w:sz="0" w:space="0" w:color="auto"/>
          </w:divBdr>
        </w:div>
        <w:div w:id="1158612326">
          <w:marLeft w:val="0"/>
          <w:marRight w:val="0"/>
          <w:marTop w:val="0"/>
          <w:marBottom w:val="0"/>
          <w:divBdr>
            <w:top w:val="none" w:sz="0" w:space="0" w:color="auto"/>
            <w:left w:val="none" w:sz="0" w:space="0" w:color="auto"/>
            <w:bottom w:val="none" w:sz="0" w:space="0" w:color="auto"/>
            <w:right w:val="none" w:sz="0" w:space="0" w:color="auto"/>
          </w:divBdr>
        </w:div>
        <w:div w:id="1195266840">
          <w:marLeft w:val="0"/>
          <w:marRight w:val="0"/>
          <w:marTop w:val="0"/>
          <w:marBottom w:val="0"/>
          <w:divBdr>
            <w:top w:val="none" w:sz="0" w:space="0" w:color="auto"/>
            <w:left w:val="none" w:sz="0" w:space="0" w:color="auto"/>
            <w:bottom w:val="none" w:sz="0" w:space="0" w:color="auto"/>
            <w:right w:val="none" w:sz="0" w:space="0" w:color="auto"/>
          </w:divBdr>
        </w:div>
        <w:div w:id="1583175037">
          <w:marLeft w:val="0"/>
          <w:marRight w:val="0"/>
          <w:marTop w:val="0"/>
          <w:marBottom w:val="0"/>
          <w:divBdr>
            <w:top w:val="none" w:sz="0" w:space="0" w:color="auto"/>
            <w:left w:val="none" w:sz="0" w:space="0" w:color="auto"/>
            <w:bottom w:val="none" w:sz="0" w:space="0" w:color="auto"/>
            <w:right w:val="none" w:sz="0" w:space="0" w:color="auto"/>
          </w:divBdr>
        </w:div>
        <w:div w:id="1693872770">
          <w:marLeft w:val="0"/>
          <w:marRight w:val="0"/>
          <w:marTop w:val="0"/>
          <w:marBottom w:val="0"/>
          <w:divBdr>
            <w:top w:val="none" w:sz="0" w:space="0" w:color="auto"/>
            <w:left w:val="none" w:sz="0" w:space="0" w:color="auto"/>
            <w:bottom w:val="none" w:sz="0" w:space="0" w:color="auto"/>
            <w:right w:val="none" w:sz="0" w:space="0" w:color="auto"/>
          </w:divBdr>
        </w:div>
        <w:div w:id="2044163885">
          <w:marLeft w:val="0"/>
          <w:marRight w:val="0"/>
          <w:marTop w:val="0"/>
          <w:marBottom w:val="0"/>
          <w:divBdr>
            <w:top w:val="none" w:sz="0" w:space="0" w:color="auto"/>
            <w:left w:val="none" w:sz="0" w:space="0" w:color="auto"/>
            <w:bottom w:val="none" w:sz="0" w:space="0" w:color="auto"/>
            <w:right w:val="none" w:sz="0" w:space="0" w:color="auto"/>
          </w:divBdr>
        </w:div>
        <w:div w:id="2076783704">
          <w:marLeft w:val="0"/>
          <w:marRight w:val="0"/>
          <w:marTop w:val="0"/>
          <w:marBottom w:val="0"/>
          <w:divBdr>
            <w:top w:val="none" w:sz="0" w:space="0" w:color="auto"/>
            <w:left w:val="none" w:sz="0" w:space="0" w:color="auto"/>
            <w:bottom w:val="none" w:sz="0" w:space="0" w:color="auto"/>
            <w:right w:val="none" w:sz="0" w:space="0" w:color="auto"/>
          </w:divBdr>
        </w:div>
        <w:div w:id="2104912366">
          <w:marLeft w:val="0"/>
          <w:marRight w:val="0"/>
          <w:marTop w:val="0"/>
          <w:marBottom w:val="0"/>
          <w:divBdr>
            <w:top w:val="none" w:sz="0" w:space="0" w:color="auto"/>
            <w:left w:val="none" w:sz="0" w:space="0" w:color="auto"/>
            <w:bottom w:val="none" w:sz="0" w:space="0" w:color="auto"/>
            <w:right w:val="none" w:sz="0" w:space="0" w:color="auto"/>
          </w:divBdr>
        </w:div>
      </w:divsChild>
    </w:div>
    <w:div w:id="469713515">
      <w:bodyDiv w:val="1"/>
      <w:marLeft w:val="0"/>
      <w:marRight w:val="0"/>
      <w:marTop w:val="0"/>
      <w:marBottom w:val="0"/>
      <w:divBdr>
        <w:top w:val="none" w:sz="0" w:space="0" w:color="auto"/>
        <w:left w:val="none" w:sz="0" w:space="0" w:color="auto"/>
        <w:bottom w:val="none" w:sz="0" w:space="0" w:color="auto"/>
        <w:right w:val="none" w:sz="0" w:space="0" w:color="auto"/>
      </w:divBdr>
    </w:div>
    <w:div w:id="494879918">
      <w:bodyDiv w:val="1"/>
      <w:marLeft w:val="0"/>
      <w:marRight w:val="0"/>
      <w:marTop w:val="0"/>
      <w:marBottom w:val="0"/>
      <w:divBdr>
        <w:top w:val="none" w:sz="0" w:space="0" w:color="auto"/>
        <w:left w:val="none" w:sz="0" w:space="0" w:color="auto"/>
        <w:bottom w:val="none" w:sz="0" w:space="0" w:color="auto"/>
        <w:right w:val="none" w:sz="0" w:space="0" w:color="auto"/>
      </w:divBdr>
    </w:div>
    <w:div w:id="564610918">
      <w:bodyDiv w:val="1"/>
      <w:marLeft w:val="0"/>
      <w:marRight w:val="0"/>
      <w:marTop w:val="0"/>
      <w:marBottom w:val="0"/>
      <w:divBdr>
        <w:top w:val="none" w:sz="0" w:space="0" w:color="auto"/>
        <w:left w:val="none" w:sz="0" w:space="0" w:color="auto"/>
        <w:bottom w:val="none" w:sz="0" w:space="0" w:color="auto"/>
        <w:right w:val="none" w:sz="0" w:space="0" w:color="auto"/>
      </w:divBdr>
    </w:div>
    <w:div w:id="628433825">
      <w:bodyDiv w:val="1"/>
      <w:marLeft w:val="0"/>
      <w:marRight w:val="0"/>
      <w:marTop w:val="0"/>
      <w:marBottom w:val="0"/>
      <w:divBdr>
        <w:top w:val="none" w:sz="0" w:space="0" w:color="auto"/>
        <w:left w:val="none" w:sz="0" w:space="0" w:color="auto"/>
        <w:bottom w:val="none" w:sz="0" w:space="0" w:color="auto"/>
        <w:right w:val="none" w:sz="0" w:space="0" w:color="auto"/>
      </w:divBdr>
    </w:div>
    <w:div w:id="683559184">
      <w:bodyDiv w:val="1"/>
      <w:marLeft w:val="0"/>
      <w:marRight w:val="0"/>
      <w:marTop w:val="0"/>
      <w:marBottom w:val="0"/>
      <w:divBdr>
        <w:top w:val="none" w:sz="0" w:space="0" w:color="auto"/>
        <w:left w:val="none" w:sz="0" w:space="0" w:color="auto"/>
        <w:bottom w:val="none" w:sz="0" w:space="0" w:color="auto"/>
        <w:right w:val="none" w:sz="0" w:space="0" w:color="auto"/>
      </w:divBdr>
    </w:div>
    <w:div w:id="710962986">
      <w:bodyDiv w:val="1"/>
      <w:marLeft w:val="0"/>
      <w:marRight w:val="0"/>
      <w:marTop w:val="0"/>
      <w:marBottom w:val="0"/>
      <w:divBdr>
        <w:top w:val="none" w:sz="0" w:space="0" w:color="auto"/>
        <w:left w:val="none" w:sz="0" w:space="0" w:color="auto"/>
        <w:bottom w:val="none" w:sz="0" w:space="0" w:color="auto"/>
        <w:right w:val="none" w:sz="0" w:space="0" w:color="auto"/>
      </w:divBdr>
      <w:divsChild>
        <w:div w:id="299042461">
          <w:marLeft w:val="0"/>
          <w:marRight w:val="0"/>
          <w:marTop w:val="0"/>
          <w:marBottom w:val="0"/>
          <w:divBdr>
            <w:top w:val="none" w:sz="0" w:space="0" w:color="auto"/>
            <w:left w:val="none" w:sz="0" w:space="0" w:color="auto"/>
            <w:bottom w:val="none" w:sz="0" w:space="0" w:color="auto"/>
            <w:right w:val="none" w:sz="0" w:space="0" w:color="auto"/>
          </w:divBdr>
        </w:div>
        <w:div w:id="528834602">
          <w:marLeft w:val="0"/>
          <w:marRight w:val="0"/>
          <w:marTop w:val="0"/>
          <w:marBottom w:val="0"/>
          <w:divBdr>
            <w:top w:val="none" w:sz="0" w:space="0" w:color="auto"/>
            <w:left w:val="none" w:sz="0" w:space="0" w:color="auto"/>
            <w:bottom w:val="none" w:sz="0" w:space="0" w:color="auto"/>
            <w:right w:val="none" w:sz="0" w:space="0" w:color="auto"/>
          </w:divBdr>
        </w:div>
        <w:div w:id="671226862">
          <w:marLeft w:val="0"/>
          <w:marRight w:val="0"/>
          <w:marTop w:val="0"/>
          <w:marBottom w:val="0"/>
          <w:divBdr>
            <w:top w:val="none" w:sz="0" w:space="0" w:color="auto"/>
            <w:left w:val="none" w:sz="0" w:space="0" w:color="auto"/>
            <w:bottom w:val="none" w:sz="0" w:space="0" w:color="auto"/>
            <w:right w:val="none" w:sz="0" w:space="0" w:color="auto"/>
          </w:divBdr>
        </w:div>
        <w:div w:id="704906090">
          <w:marLeft w:val="0"/>
          <w:marRight w:val="0"/>
          <w:marTop w:val="0"/>
          <w:marBottom w:val="0"/>
          <w:divBdr>
            <w:top w:val="none" w:sz="0" w:space="0" w:color="auto"/>
            <w:left w:val="none" w:sz="0" w:space="0" w:color="auto"/>
            <w:bottom w:val="none" w:sz="0" w:space="0" w:color="auto"/>
            <w:right w:val="none" w:sz="0" w:space="0" w:color="auto"/>
          </w:divBdr>
        </w:div>
        <w:div w:id="725303032">
          <w:marLeft w:val="0"/>
          <w:marRight w:val="0"/>
          <w:marTop w:val="0"/>
          <w:marBottom w:val="0"/>
          <w:divBdr>
            <w:top w:val="none" w:sz="0" w:space="0" w:color="auto"/>
            <w:left w:val="none" w:sz="0" w:space="0" w:color="auto"/>
            <w:bottom w:val="none" w:sz="0" w:space="0" w:color="auto"/>
            <w:right w:val="none" w:sz="0" w:space="0" w:color="auto"/>
          </w:divBdr>
        </w:div>
        <w:div w:id="846751083">
          <w:marLeft w:val="0"/>
          <w:marRight w:val="0"/>
          <w:marTop w:val="0"/>
          <w:marBottom w:val="0"/>
          <w:divBdr>
            <w:top w:val="none" w:sz="0" w:space="0" w:color="auto"/>
            <w:left w:val="none" w:sz="0" w:space="0" w:color="auto"/>
            <w:bottom w:val="none" w:sz="0" w:space="0" w:color="auto"/>
            <w:right w:val="none" w:sz="0" w:space="0" w:color="auto"/>
          </w:divBdr>
        </w:div>
        <w:div w:id="876771315">
          <w:marLeft w:val="0"/>
          <w:marRight w:val="0"/>
          <w:marTop w:val="0"/>
          <w:marBottom w:val="0"/>
          <w:divBdr>
            <w:top w:val="none" w:sz="0" w:space="0" w:color="auto"/>
            <w:left w:val="none" w:sz="0" w:space="0" w:color="auto"/>
            <w:bottom w:val="none" w:sz="0" w:space="0" w:color="auto"/>
            <w:right w:val="none" w:sz="0" w:space="0" w:color="auto"/>
          </w:divBdr>
        </w:div>
        <w:div w:id="989790819">
          <w:marLeft w:val="0"/>
          <w:marRight w:val="0"/>
          <w:marTop w:val="0"/>
          <w:marBottom w:val="0"/>
          <w:divBdr>
            <w:top w:val="none" w:sz="0" w:space="0" w:color="auto"/>
            <w:left w:val="none" w:sz="0" w:space="0" w:color="auto"/>
            <w:bottom w:val="none" w:sz="0" w:space="0" w:color="auto"/>
            <w:right w:val="none" w:sz="0" w:space="0" w:color="auto"/>
          </w:divBdr>
        </w:div>
        <w:div w:id="1045714685">
          <w:marLeft w:val="0"/>
          <w:marRight w:val="0"/>
          <w:marTop w:val="0"/>
          <w:marBottom w:val="0"/>
          <w:divBdr>
            <w:top w:val="none" w:sz="0" w:space="0" w:color="auto"/>
            <w:left w:val="none" w:sz="0" w:space="0" w:color="auto"/>
            <w:bottom w:val="none" w:sz="0" w:space="0" w:color="auto"/>
            <w:right w:val="none" w:sz="0" w:space="0" w:color="auto"/>
          </w:divBdr>
        </w:div>
        <w:div w:id="1064985268">
          <w:marLeft w:val="0"/>
          <w:marRight w:val="0"/>
          <w:marTop w:val="0"/>
          <w:marBottom w:val="0"/>
          <w:divBdr>
            <w:top w:val="none" w:sz="0" w:space="0" w:color="auto"/>
            <w:left w:val="none" w:sz="0" w:space="0" w:color="auto"/>
            <w:bottom w:val="none" w:sz="0" w:space="0" w:color="auto"/>
            <w:right w:val="none" w:sz="0" w:space="0" w:color="auto"/>
          </w:divBdr>
        </w:div>
        <w:div w:id="1171876507">
          <w:marLeft w:val="0"/>
          <w:marRight w:val="0"/>
          <w:marTop w:val="0"/>
          <w:marBottom w:val="0"/>
          <w:divBdr>
            <w:top w:val="none" w:sz="0" w:space="0" w:color="auto"/>
            <w:left w:val="none" w:sz="0" w:space="0" w:color="auto"/>
            <w:bottom w:val="none" w:sz="0" w:space="0" w:color="auto"/>
            <w:right w:val="none" w:sz="0" w:space="0" w:color="auto"/>
          </w:divBdr>
        </w:div>
        <w:div w:id="1274092946">
          <w:marLeft w:val="0"/>
          <w:marRight w:val="0"/>
          <w:marTop w:val="0"/>
          <w:marBottom w:val="0"/>
          <w:divBdr>
            <w:top w:val="none" w:sz="0" w:space="0" w:color="auto"/>
            <w:left w:val="none" w:sz="0" w:space="0" w:color="auto"/>
            <w:bottom w:val="none" w:sz="0" w:space="0" w:color="auto"/>
            <w:right w:val="none" w:sz="0" w:space="0" w:color="auto"/>
          </w:divBdr>
        </w:div>
        <w:div w:id="1410032154">
          <w:marLeft w:val="0"/>
          <w:marRight w:val="0"/>
          <w:marTop w:val="0"/>
          <w:marBottom w:val="0"/>
          <w:divBdr>
            <w:top w:val="none" w:sz="0" w:space="0" w:color="auto"/>
            <w:left w:val="none" w:sz="0" w:space="0" w:color="auto"/>
            <w:bottom w:val="none" w:sz="0" w:space="0" w:color="auto"/>
            <w:right w:val="none" w:sz="0" w:space="0" w:color="auto"/>
          </w:divBdr>
        </w:div>
        <w:div w:id="1431849610">
          <w:marLeft w:val="0"/>
          <w:marRight w:val="0"/>
          <w:marTop w:val="0"/>
          <w:marBottom w:val="0"/>
          <w:divBdr>
            <w:top w:val="none" w:sz="0" w:space="0" w:color="auto"/>
            <w:left w:val="none" w:sz="0" w:space="0" w:color="auto"/>
            <w:bottom w:val="none" w:sz="0" w:space="0" w:color="auto"/>
            <w:right w:val="none" w:sz="0" w:space="0" w:color="auto"/>
          </w:divBdr>
        </w:div>
        <w:div w:id="1473909719">
          <w:marLeft w:val="0"/>
          <w:marRight w:val="0"/>
          <w:marTop w:val="0"/>
          <w:marBottom w:val="0"/>
          <w:divBdr>
            <w:top w:val="none" w:sz="0" w:space="0" w:color="auto"/>
            <w:left w:val="none" w:sz="0" w:space="0" w:color="auto"/>
            <w:bottom w:val="none" w:sz="0" w:space="0" w:color="auto"/>
            <w:right w:val="none" w:sz="0" w:space="0" w:color="auto"/>
          </w:divBdr>
        </w:div>
        <w:div w:id="1491141054">
          <w:marLeft w:val="0"/>
          <w:marRight w:val="0"/>
          <w:marTop w:val="0"/>
          <w:marBottom w:val="0"/>
          <w:divBdr>
            <w:top w:val="none" w:sz="0" w:space="0" w:color="auto"/>
            <w:left w:val="none" w:sz="0" w:space="0" w:color="auto"/>
            <w:bottom w:val="none" w:sz="0" w:space="0" w:color="auto"/>
            <w:right w:val="none" w:sz="0" w:space="0" w:color="auto"/>
          </w:divBdr>
        </w:div>
        <w:div w:id="1580166220">
          <w:marLeft w:val="0"/>
          <w:marRight w:val="0"/>
          <w:marTop w:val="0"/>
          <w:marBottom w:val="0"/>
          <w:divBdr>
            <w:top w:val="none" w:sz="0" w:space="0" w:color="auto"/>
            <w:left w:val="none" w:sz="0" w:space="0" w:color="auto"/>
            <w:bottom w:val="none" w:sz="0" w:space="0" w:color="auto"/>
            <w:right w:val="none" w:sz="0" w:space="0" w:color="auto"/>
          </w:divBdr>
        </w:div>
        <w:div w:id="1657953138">
          <w:marLeft w:val="0"/>
          <w:marRight w:val="0"/>
          <w:marTop w:val="0"/>
          <w:marBottom w:val="0"/>
          <w:divBdr>
            <w:top w:val="none" w:sz="0" w:space="0" w:color="auto"/>
            <w:left w:val="none" w:sz="0" w:space="0" w:color="auto"/>
            <w:bottom w:val="none" w:sz="0" w:space="0" w:color="auto"/>
            <w:right w:val="none" w:sz="0" w:space="0" w:color="auto"/>
          </w:divBdr>
        </w:div>
        <w:div w:id="1855263121">
          <w:marLeft w:val="0"/>
          <w:marRight w:val="0"/>
          <w:marTop w:val="0"/>
          <w:marBottom w:val="0"/>
          <w:divBdr>
            <w:top w:val="none" w:sz="0" w:space="0" w:color="auto"/>
            <w:left w:val="none" w:sz="0" w:space="0" w:color="auto"/>
            <w:bottom w:val="none" w:sz="0" w:space="0" w:color="auto"/>
            <w:right w:val="none" w:sz="0" w:space="0" w:color="auto"/>
          </w:divBdr>
        </w:div>
        <w:div w:id="1977761071">
          <w:marLeft w:val="0"/>
          <w:marRight w:val="0"/>
          <w:marTop w:val="0"/>
          <w:marBottom w:val="0"/>
          <w:divBdr>
            <w:top w:val="none" w:sz="0" w:space="0" w:color="auto"/>
            <w:left w:val="none" w:sz="0" w:space="0" w:color="auto"/>
            <w:bottom w:val="none" w:sz="0" w:space="0" w:color="auto"/>
            <w:right w:val="none" w:sz="0" w:space="0" w:color="auto"/>
          </w:divBdr>
        </w:div>
        <w:div w:id="2020353792">
          <w:marLeft w:val="0"/>
          <w:marRight w:val="0"/>
          <w:marTop w:val="0"/>
          <w:marBottom w:val="0"/>
          <w:divBdr>
            <w:top w:val="none" w:sz="0" w:space="0" w:color="auto"/>
            <w:left w:val="none" w:sz="0" w:space="0" w:color="auto"/>
            <w:bottom w:val="none" w:sz="0" w:space="0" w:color="auto"/>
            <w:right w:val="none" w:sz="0" w:space="0" w:color="auto"/>
          </w:divBdr>
        </w:div>
      </w:divsChild>
    </w:div>
    <w:div w:id="753933451">
      <w:bodyDiv w:val="1"/>
      <w:marLeft w:val="0"/>
      <w:marRight w:val="0"/>
      <w:marTop w:val="0"/>
      <w:marBottom w:val="0"/>
      <w:divBdr>
        <w:top w:val="none" w:sz="0" w:space="0" w:color="auto"/>
        <w:left w:val="none" w:sz="0" w:space="0" w:color="auto"/>
        <w:bottom w:val="none" w:sz="0" w:space="0" w:color="auto"/>
        <w:right w:val="none" w:sz="0" w:space="0" w:color="auto"/>
      </w:divBdr>
    </w:div>
    <w:div w:id="905069867">
      <w:bodyDiv w:val="1"/>
      <w:marLeft w:val="0"/>
      <w:marRight w:val="0"/>
      <w:marTop w:val="0"/>
      <w:marBottom w:val="0"/>
      <w:divBdr>
        <w:top w:val="none" w:sz="0" w:space="0" w:color="auto"/>
        <w:left w:val="none" w:sz="0" w:space="0" w:color="auto"/>
        <w:bottom w:val="none" w:sz="0" w:space="0" w:color="auto"/>
        <w:right w:val="none" w:sz="0" w:space="0" w:color="auto"/>
      </w:divBdr>
    </w:div>
    <w:div w:id="927931982">
      <w:bodyDiv w:val="1"/>
      <w:marLeft w:val="0"/>
      <w:marRight w:val="0"/>
      <w:marTop w:val="0"/>
      <w:marBottom w:val="0"/>
      <w:divBdr>
        <w:top w:val="none" w:sz="0" w:space="0" w:color="auto"/>
        <w:left w:val="none" w:sz="0" w:space="0" w:color="auto"/>
        <w:bottom w:val="none" w:sz="0" w:space="0" w:color="auto"/>
        <w:right w:val="none" w:sz="0" w:space="0" w:color="auto"/>
      </w:divBdr>
      <w:divsChild>
        <w:div w:id="150483452">
          <w:marLeft w:val="0"/>
          <w:marRight w:val="0"/>
          <w:marTop w:val="0"/>
          <w:marBottom w:val="0"/>
          <w:divBdr>
            <w:top w:val="none" w:sz="0" w:space="0" w:color="auto"/>
            <w:left w:val="none" w:sz="0" w:space="0" w:color="auto"/>
            <w:bottom w:val="none" w:sz="0" w:space="0" w:color="auto"/>
            <w:right w:val="none" w:sz="0" w:space="0" w:color="auto"/>
          </w:divBdr>
        </w:div>
        <w:div w:id="409932159">
          <w:marLeft w:val="0"/>
          <w:marRight w:val="0"/>
          <w:marTop w:val="0"/>
          <w:marBottom w:val="0"/>
          <w:divBdr>
            <w:top w:val="none" w:sz="0" w:space="0" w:color="auto"/>
            <w:left w:val="none" w:sz="0" w:space="0" w:color="auto"/>
            <w:bottom w:val="none" w:sz="0" w:space="0" w:color="auto"/>
            <w:right w:val="none" w:sz="0" w:space="0" w:color="auto"/>
          </w:divBdr>
        </w:div>
        <w:div w:id="672223567">
          <w:marLeft w:val="0"/>
          <w:marRight w:val="0"/>
          <w:marTop w:val="0"/>
          <w:marBottom w:val="0"/>
          <w:divBdr>
            <w:top w:val="none" w:sz="0" w:space="0" w:color="auto"/>
            <w:left w:val="none" w:sz="0" w:space="0" w:color="auto"/>
            <w:bottom w:val="none" w:sz="0" w:space="0" w:color="auto"/>
            <w:right w:val="none" w:sz="0" w:space="0" w:color="auto"/>
          </w:divBdr>
        </w:div>
        <w:div w:id="1034503252">
          <w:marLeft w:val="0"/>
          <w:marRight w:val="0"/>
          <w:marTop w:val="0"/>
          <w:marBottom w:val="0"/>
          <w:divBdr>
            <w:top w:val="none" w:sz="0" w:space="0" w:color="auto"/>
            <w:left w:val="none" w:sz="0" w:space="0" w:color="auto"/>
            <w:bottom w:val="none" w:sz="0" w:space="0" w:color="auto"/>
            <w:right w:val="none" w:sz="0" w:space="0" w:color="auto"/>
          </w:divBdr>
        </w:div>
        <w:div w:id="1051225127">
          <w:marLeft w:val="0"/>
          <w:marRight w:val="0"/>
          <w:marTop w:val="0"/>
          <w:marBottom w:val="0"/>
          <w:divBdr>
            <w:top w:val="none" w:sz="0" w:space="0" w:color="auto"/>
            <w:left w:val="none" w:sz="0" w:space="0" w:color="auto"/>
            <w:bottom w:val="none" w:sz="0" w:space="0" w:color="auto"/>
            <w:right w:val="none" w:sz="0" w:space="0" w:color="auto"/>
          </w:divBdr>
        </w:div>
        <w:div w:id="1145853616">
          <w:marLeft w:val="0"/>
          <w:marRight w:val="0"/>
          <w:marTop w:val="0"/>
          <w:marBottom w:val="0"/>
          <w:divBdr>
            <w:top w:val="none" w:sz="0" w:space="0" w:color="auto"/>
            <w:left w:val="none" w:sz="0" w:space="0" w:color="auto"/>
            <w:bottom w:val="none" w:sz="0" w:space="0" w:color="auto"/>
            <w:right w:val="none" w:sz="0" w:space="0" w:color="auto"/>
          </w:divBdr>
        </w:div>
        <w:div w:id="1312363419">
          <w:marLeft w:val="0"/>
          <w:marRight w:val="0"/>
          <w:marTop w:val="0"/>
          <w:marBottom w:val="0"/>
          <w:divBdr>
            <w:top w:val="none" w:sz="0" w:space="0" w:color="auto"/>
            <w:left w:val="none" w:sz="0" w:space="0" w:color="auto"/>
            <w:bottom w:val="none" w:sz="0" w:space="0" w:color="auto"/>
            <w:right w:val="none" w:sz="0" w:space="0" w:color="auto"/>
          </w:divBdr>
        </w:div>
        <w:div w:id="1672758089">
          <w:marLeft w:val="0"/>
          <w:marRight w:val="0"/>
          <w:marTop w:val="0"/>
          <w:marBottom w:val="0"/>
          <w:divBdr>
            <w:top w:val="none" w:sz="0" w:space="0" w:color="auto"/>
            <w:left w:val="none" w:sz="0" w:space="0" w:color="auto"/>
            <w:bottom w:val="none" w:sz="0" w:space="0" w:color="auto"/>
            <w:right w:val="none" w:sz="0" w:space="0" w:color="auto"/>
          </w:divBdr>
        </w:div>
        <w:div w:id="1678380803">
          <w:marLeft w:val="0"/>
          <w:marRight w:val="0"/>
          <w:marTop w:val="0"/>
          <w:marBottom w:val="0"/>
          <w:divBdr>
            <w:top w:val="none" w:sz="0" w:space="0" w:color="auto"/>
            <w:left w:val="none" w:sz="0" w:space="0" w:color="auto"/>
            <w:bottom w:val="none" w:sz="0" w:space="0" w:color="auto"/>
            <w:right w:val="none" w:sz="0" w:space="0" w:color="auto"/>
          </w:divBdr>
        </w:div>
      </w:divsChild>
    </w:div>
    <w:div w:id="1094282521">
      <w:bodyDiv w:val="1"/>
      <w:marLeft w:val="0"/>
      <w:marRight w:val="0"/>
      <w:marTop w:val="0"/>
      <w:marBottom w:val="0"/>
      <w:divBdr>
        <w:top w:val="none" w:sz="0" w:space="0" w:color="auto"/>
        <w:left w:val="none" w:sz="0" w:space="0" w:color="auto"/>
        <w:bottom w:val="none" w:sz="0" w:space="0" w:color="auto"/>
        <w:right w:val="none" w:sz="0" w:space="0" w:color="auto"/>
      </w:divBdr>
    </w:div>
    <w:div w:id="1271552333">
      <w:bodyDiv w:val="1"/>
      <w:marLeft w:val="0"/>
      <w:marRight w:val="0"/>
      <w:marTop w:val="0"/>
      <w:marBottom w:val="0"/>
      <w:divBdr>
        <w:top w:val="none" w:sz="0" w:space="0" w:color="auto"/>
        <w:left w:val="none" w:sz="0" w:space="0" w:color="auto"/>
        <w:bottom w:val="none" w:sz="0" w:space="0" w:color="auto"/>
        <w:right w:val="none" w:sz="0" w:space="0" w:color="auto"/>
      </w:divBdr>
    </w:div>
    <w:div w:id="1356227686">
      <w:bodyDiv w:val="1"/>
      <w:marLeft w:val="0"/>
      <w:marRight w:val="0"/>
      <w:marTop w:val="0"/>
      <w:marBottom w:val="0"/>
      <w:divBdr>
        <w:top w:val="none" w:sz="0" w:space="0" w:color="auto"/>
        <w:left w:val="none" w:sz="0" w:space="0" w:color="auto"/>
        <w:bottom w:val="none" w:sz="0" w:space="0" w:color="auto"/>
        <w:right w:val="none" w:sz="0" w:space="0" w:color="auto"/>
      </w:divBdr>
    </w:div>
    <w:div w:id="1511215248">
      <w:bodyDiv w:val="1"/>
      <w:marLeft w:val="0"/>
      <w:marRight w:val="0"/>
      <w:marTop w:val="0"/>
      <w:marBottom w:val="0"/>
      <w:divBdr>
        <w:top w:val="none" w:sz="0" w:space="0" w:color="auto"/>
        <w:left w:val="none" w:sz="0" w:space="0" w:color="auto"/>
        <w:bottom w:val="none" w:sz="0" w:space="0" w:color="auto"/>
        <w:right w:val="none" w:sz="0" w:space="0" w:color="auto"/>
      </w:divBdr>
    </w:div>
    <w:div w:id="1638493105">
      <w:bodyDiv w:val="1"/>
      <w:marLeft w:val="0"/>
      <w:marRight w:val="0"/>
      <w:marTop w:val="0"/>
      <w:marBottom w:val="0"/>
      <w:divBdr>
        <w:top w:val="none" w:sz="0" w:space="0" w:color="auto"/>
        <w:left w:val="none" w:sz="0" w:space="0" w:color="auto"/>
        <w:bottom w:val="none" w:sz="0" w:space="0" w:color="auto"/>
        <w:right w:val="none" w:sz="0" w:space="0" w:color="auto"/>
      </w:divBdr>
    </w:div>
    <w:div w:id="1686175978">
      <w:bodyDiv w:val="1"/>
      <w:marLeft w:val="0"/>
      <w:marRight w:val="0"/>
      <w:marTop w:val="0"/>
      <w:marBottom w:val="0"/>
      <w:divBdr>
        <w:top w:val="none" w:sz="0" w:space="0" w:color="auto"/>
        <w:left w:val="none" w:sz="0" w:space="0" w:color="auto"/>
        <w:bottom w:val="none" w:sz="0" w:space="0" w:color="auto"/>
        <w:right w:val="none" w:sz="0" w:space="0" w:color="auto"/>
      </w:divBdr>
    </w:div>
    <w:div w:id="1689017597">
      <w:bodyDiv w:val="1"/>
      <w:marLeft w:val="0"/>
      <w:marRight w:val="0"/>
      <w:marTop w:val="0"/>
      <w:marBottom w:val="0"/>
      <w:divBdr>
        <w:top w:val="none" w:sz="0" w:space="0" w:color="auto"/>
        <w:left w:val="none" w:sz="0" w:space="0" w:color="auto"/>
        <w:bottom w:val="none" w:sz="0" w:space="0" w:color="auto"/>
        <w:right w:val="none" w:sz="0" w:space="0" w:color="auto"/>
      </w:divBdr>
    </w:div>
    <w:div w:id="1693648721">
      <w:bodyDiv w:val="1"/>
      <w:marLeft w:val="0"/>
      <w:marRight w:val="0"/>
      <w:marTop w:val="0"/>
      <w:marBottom w:val="0"/>
      <w:divBdr>
        <w:top w:val="none" w:sz="0" w:space="0" w:color="auto"/>
        <w:left w:val="none" w:sz="0" w:space="0" w:color="auto"/>
        <w:bottom w:val="none" w:sz="0" w:space="0" w:color="auto"/>
        <w:right w:val="none" w:sz="0" w:space="0" w:color="auto"/>
      </w:divBdr>
    </w:div>
    <w:div w:id="1924341810">
      <w:bodyDiv w:val="1"/>
      <w:marLeft w:val="0"/>
      <w:marRight w:val="0"/>
      <w:marTop w:val="0"/>
      <w:marBottom w:val="0"/>
      <w:divBdr>
        <w:top w:val="none" w:sz="0" w:space="0" w:color="auto"/>
        <w:left w:val="none" w:sz="0" w:space="0" w:color="auto"/>
        <w:bottom w:val="none" w:sz="0" w:space="0" w:color="auto"/>
        <w:right w:val="none" w:sz="0" w:space="0" w:color="auto"/>
      </w:divBdr>
      <w:divsChild>
        <w:div w:id="608125351">
          <w:marLeft w:val="0"/>
          <w:marRight w:val="0"/>
          <w:marTop w:val="0"/>
          <w:marBottom w:val="0"/>
          <w:divBdr>
            <w:top w:val="none" w:sz="0" w:space="0" w:color="auto"/>
            <w:left w:val="none" w:sz="0" w:space="0" w:color="auto"/>
            <w:bottom w:val="none" w:sz="0" w:space="0" w:color="auto"/>
            <w:right w:val="none" w:sz="0" w:space="0" w:color="auto"/>
          </w:divBdr>
        </w:div>
        <w:div w:id="796992393">
          <w:marLeft w:val="0"/>
          <w:marRight w:val="0"/>
          <w:marTop w:val="0"/>
          <w:marBottom w:val="0"/>
          <w:divBdr>
            <w:top w:val="none" w:sz="0" w:space="0" w:color="auto"/>
            <w:left w:val="none" w:sz="0" w:space="0" w:color="auto"/>
            <w:bottom w:val="none" w:sz="0" w:space="0" w:color="auto"/>
            <w:right w:val="none" w:sz="0" w:space="0" w:color="auto"/>
          </w:divBdr>
        </w:div>
        <w:div w:id="912005678">
          <w:marLeft w:val="0"/>
          <w:marRight w:val="0"/>
          <w:marTop w:val="0"/>
          <w:marBottom w:val="0"/>
          <w:divBdr>
            <w:top w:val="none" w:sz="0" w:space="0" w:color="auto"/>
            <w:left w:val="none" w:sz="0" w:space="0" w:color="auto"/>
            <w:bottom w:val="none" w:sz="0" w:space="0" w:color="auto"/>
            <w:right w:val="none" w:sz="0" w:space="0" w:color="auto"/>
          </w:divBdr>
        </w:div>
        <w:div w:id="1013799524">
          <w:marLeft w:val="0"/>
          <w:marRight w:val="0"/>
          <w:marTop w:val="0"/>
          <w:marBottom w:val="0"/>
          <w:divBdr>
            <w:top w:val="none" w:sz="0" w:space="0" w:color="auto"/>
            <w:left w:val="none" w:sz="0" w:space="0" w:color="auto"/>
            <w:bottom w:val="none" w:sz="0" w:space="0" w:color="auto"/>
            <w:right w:val="none" w:sz="0" w:space="0" w:color="auto"/>
          </w:divBdr>
        </w:div>
        <w:div w:id="1140464883">
          <w:marLeft w:val="0"/>
          <w:marRight w:val="0"/>
          <w:marTop w:val="0"/>
          <w:marBottom w:val="0"/>
          <w:divBdr>
            <w:top w:val="none" w:sz="0" w:space="0" w:color="auto"/>
            <w:left w:val="none" w:sz="0" w:space="0" w:color="auto"/>
            <w:bottom w:val="none" w:sz="0" w:space="0" w:color="auto"/>
            <w:right w:val="none" w:sz="0" w:space="0" w:color="auto"/>
          </w:divBdr>
        </w:div>
        <w:div w:id="1143347914">
          <w:marLeft w:val="0"/>
          <w:marRight w:val="0"/>
          <w:marTop w:val="0"/>
          <w:marBottom w:val="0"/>
          <w:divBdr>
            <w:top w:val="none" w:sz="0" w:space="0" w:color="auto"/>
            <w:left w:val="none" w:sz="0" w:space="0" w:color="auto"/>
            <w:bottom w:val="none" w:sz="0" w:space="0" w:color="auto"/>
            <w:right w:val="none" w:sz="0" w:space="0" w:color="auto"/>
          </w:divBdr>
        </w:div>
        <w:div w:id="1473252031">
          <w:marLeft w:val="0"/>
          <w:marRight w:val="0"/>
          <w:marTop w:val="0"/>
          <w:marBottom w:val="0"/>
          <w:divBdr>
            <w:top w:val="none" w:sz="0" w:space="0" w:color="auto"/>
            <w:left w:val="none" w:sz="0" w:space="0" w:color="auto"/>
            <w:bottom w:val="none" w:sz="0" w:space="0" w:color="auto"/>
            <w:right w:val="none" w:sz="0" w:space="0" w:color="auto"/>
          </w:divBdr>
        </w:div>
        <w:div w:id="1671180110">
          <w:marLeft w:val="0"/>
          <w:marRight w:val="0"/>
          <w:marTop w:val="0"/>
          <w:marBottom w:val="0"/>
          <w:divBdr>
            <w:top w:val="none" w:sz="0" w:space="0" w:color="auto"/>
            <w:left w:val="none" w:sz="0" w:space="0" w:color="auto"/>
            <w:bottom w:val="none" w:sz="0" w:space="0" w:color="auto"/>
            <w:right w:val="none" w:sz="0" w:space="0" w:color="auto"/>
          </w:divBdr>
        </w:div>
        <w:div w:id="2074698673">
          <w:marLeft w:val="0"/>
          <w:marRight w:val="0"/>
          <w:marTop w:val="0"/>
          <w:marBottom w:val="0"/>
          <w:divBdr>
            <w:top w:val="none" w:sz="0" w:space="0" w:color="auto"/>
            <w:left w:val="none" w:sz="0" w:space="0" w:color="auto"/>
            <w:bottom w:val="none" w:sz="0" w:space="0" w:color="auto"/>
            <w:right w:val="none" w:sz="0" w:space="0" w:color="auto"/>
          </w:divBdr>
        </w:div>
      </w:divsChild>
    </w:div>
    <w:div w:id="1977099086">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40935856">
      <w:bodyDiv w:val="1"/>
      <w:marLeft w:val="0"/>
      <w:marRight w:val="0"/>
      <w:marTop w:val="0"/>
      <w:marBottom w:val="0"/>
      <w:divBdr>
        <w:top w:val="none" w:sz="0" w:space="0" w:color="auto"/>
        <w:left w:val="none" w:sz="0" w:space="0" w:color="auto"/>
        <w:bottom w:val="none" w:sz="0" w:space="0" w:color="auto"/>
        <w:right w:val="none" w:sz="0" w:space="0" w:color="auto"/>
      </w:divBdr>
    </w:div>
    <w:div w:id="2074960399">
      <w:bodyDiv w:val="1"/>
      <w:marLeft w:val="0"/>
      <w:marRight w:val="0"/>
      <w:marTop w:val="0"/>
      <w:marBottom w:val="0"/>
      <w:divBdr>
        <w:top w:val="none" w:sz="0" w:space="0" w:color="auto"/>
        <w:left w:val="none" w:sz="0" w:space="0" w:color="auto"/>
        <w:bottom w:val="none" w:sz="0" w:space="0" w:color="auto"/>
        <w:right w:val="none" w:sz="0" w:space="0" w:color="auto"/>
      </w:divBdr>
      <w:divsChild>
        <w:div w:id="24064336">
          <w:marLeft w:val="0"/>
          <w:marRight w:val="0"/>
          <w:marTop w:val="0"/>
          <w:marBottom w:val="0"/>
          <w:divBdr>
            <w:top w:val="none" w:sz="0" w:space="0" w:color="auto"/>
            <w:left w:val="none" w:sz="0" w:space="0" w:color="auto"/>
            <w:bottom w:val="none" w:sz="0" w:space="0" w:color="auto"/>
            <w:right w:val="none" w:sz="0" w:space="0" w:color="auto"/>
          </w:divBdr>
        </w:div>
        <w:div w:id="195965433">
          <w:marLeft w:val="0"/>
          <w:marRight w:val="0"/>
          <w:marTop w:val="0"/>
          <w:marBottom w:val="0"/>
          <w:divBdr>
            <w:top w:val="none" w:sz="0" w:space="0" w:color="auto"/>
            <w:left w:val="none" w:sz="0" w:space="0" w:color="auto"/>
            <w:bottom w:val="none" w:sz="0" w:space="0" w:color="auto"/>
            <w:right w:val="none" w:sz="0" w:space="0" w:color="auto"/>
          </w:divBdr>
        </w:div>
        <w:div w:id="772945323">
          <w:marLeft w:val="0"/>
          <w:marRight w:val="0"/>
          <w:marTop w:val="0"/>
          <w:marBottom w:val="0"/>
          <w:divBdr>
            <w:top w:val="none" w:sz="0" w:space="0" w:color="auto"/>
            <w:left w:val="none" w:sz="0" w:space="0" w:color="auto"/>
            <w:bottom w:val="none" w:sz="0" w:space="0" w:color="auto"/>
            <w:right w:val="none" w:sz="0" w:space="0" w:color="auto"/>
          </w:divBdr>
        </w:div>
        <w:div w:id="785542609">
          <w:marLeft w:val="0"/>
          <w:marRight w:val="0"/>
          <w:marTop w:val="0"/>
          <w:marBottom w:val="0"/>
          <w:divBdr>
            <w:top w:val="none" w:sz="0" w:space="0" w:color="auto"/>
            <w:left w:val="none" w:sz="0" w:space="0" w:color="auto"/>
            <w:bottom w:val="none" w:sz="0" w:space="0" w:color="auto"/>
            <w:right w:val="none" w:sz="0" w:space="0" w:color="auto"/>
          </w:divBdr>
        </w:div>
        <w:div w:id="1385720258">
          <w:marLeft w:val="0"/>
          <w:marRight w:val="0"/>
          <w:marTop w:val="0"/>
          <w:marBottom w:val="0"/>
          <w:divBdr>
            <w:top w:val="none" w:sz="0" w:space="0" w:color="auto"/>
            <w:left w:val="none" w:sz="0" w:space="0" w:color="auto"/>
            <w:bottom w:val="none" w:sz="0" w:space="0" w:color="auto"/>
            <w:right w:val="none" w:sz="0" w:space="0" w:color="auto"/>
          </w:divBdr>
        </w:div>
        <w:div w:id="1425757953">
          <w:marLeft w:val="0"/>
          <w:marRight w:val="0"/>
          <w:marTop w:val="0"/>
          <w:marBottom w:val="0"/>
          <w:divBdr>
            <w:top w:val="none" w:sz="0" w:space="0" w:color="auto"/>
            <w:left w:val="none" w:sz="0" w:space="0" w:color="auto"/>
            <w:bottom w:val="none" w:sz="0" w:space="0" w:color="auto"/>
            <w:right w:val="none" w:sz="0" w:space="0" w:color="auto"/>
          </w:divBdr>
        </w:div>
        <w:div w:id="1721901246">
          <w:marLeft w:val="0"/>
          <w:marRight w:val="0"/>
          <w:marTop w:val="0"/>
          <w:marBottom w:val="0"/>
          <w:divBdr>
            <w:top w:val="none" w:sz="0" w:space="0" w:color="auto"/>
            <w:left w:val="none" w:sz="0" w:space="0" w:color="auto"/>
            <w:bottom w:val="none" w:sz="0" w:space="0" w:color="auto"/>
            <w:right w:val="none" w:sz="0" w:space="0" w:color="auto"/>
          </w:divBdr>
        </w:div>
        <w:div w:id="1801723422">
          <w:marLeft w:val="0"/>
          <w:marRight w:val="0"/>
          <w:marTop w:val="0"/>
          <w:marBottom w:val="0"/>
          <w:divBdr>
            <w:top w:val="none" w:sz="0" w:space="0" w:color="auto"/>
            <w:left w:val="none" w:sz="0" w:space="0" w:color="auto"/>
            <w:bottom w:val="none" w:sz="0" w:space="0" w:color="auto"/>
            <w:right w:val="none" w:sz="0" w:space="0" w:color="auto"/>
          </w:divBdr>
        </w:div>
        <w:div w:id="2116050985">
          <w:marLeft w:val="0"/>
          <w:marRight w:val="0"/>
          <w:marTop w:val="0"/>
          <w:marBottom w:val="0"/>
          <w:divBdr>
            <w:top w:val="none" w:sz="0" w:space="0" w:color="auto"/>
            <w:left w:val="none" w:sz="0" w:space="0" w:color="auto"/>
            <w:bottom w:val="none" w:sz="0" w:space="0" w:color="auto"/>
            <w:right w:val="none" w:sz="0" w:space="0" w:color="auto"/>
          </w:divBdr>
        </w:div>
      </w:divsChild>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 w:id="21401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legislation.gov.uk/asp/2020/11/notes/division/2/1/2/1/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statistics/uk-sea-fisheries-annual-statistics-report-2024" TargetMode="External"/><Relationship Id="rId2" Type="http://schemas.openxmlformats.org/officeDocument/2006/relationships/customXml" Target="../customXml/item2.xml"/><Relationship Id="rId16" Type="http://schemas.openxmlformats.org/officeDocument/2006/relationships/hyperlink" Target="https://www.gov.uk/government/statistics/uk-sea-fisheries-annual-statistics-report-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scot/isbn/9781807753290" TargetMode="External"/><Relationship Id="rId10" Type="http://schemas.openxmlformats.org/officeDocument/2006/relationships/webSettings" Target="webSettings.xml"/><Relationship Id="rId19" Type="http://schemas.openxmlformats.org/officeDocument/2006/relationships/hyperlink" Target="mailto:FMPs@gov.sco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19399/Joint_Fisheries_Statement_JFS_2022_Fina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faf.12773" TargetMode="External"/><Relationship Id="rId3" Type="http://schemas.openxmlformats.org/officeDocument/2006/relationships/hyperlink" Target="https://www.gov.uk/government/statistics/uk-sea-fisheries-annual-statistics-report-2024" TargetMode="External"/><Relationship Id="rId7" Type="http://schemas.openxmlformats.org/officeDocument/2006/relationships/hyperlink" Target="https://pure.hw.ac.uk/ws/portalfiles/portal/80242291/Ecography_2020_Baudron_Changing_fish_distributions_challenge_the_effective_management_of_European_fisheries.pdf" TargetMode="External"/><Relationship Id="rId2" Type="http://schemas.openxmlformats.org/officeDocument/2006/relationships/hyperlink" Target="https://www.gov.uk/government/publications/joint-fisheries-statement-jfs" TargetMode="External"/><Relationship Id="rId1" Type="http://schemas.openxmlformats.org/officeDocument/2006/relationships/hyperlink" Target="https://www.legislation.gov.uk/ukpga/2020/22/contents/enacted" TargetMode="External"/><Relationship Id="rId6" Type="http://schemas.openxmlformats.org/officeDocument/2006/relationships/hyperlink" Target="https://www.ons.gov.uk/businessindustryandtrade/business/activitysizeandlocation/datasets/ukbusinessactivitysizeandlocation" TargetMode="External"/><Relationship Id="rId5" Type="http://schemas.openxmlformats.org/officeDocument/2006/relationships/hyperlink" Target="https://www.legislation.gov.uk/ukpga/2015/26/part/2/crossheading/definitions-of-small-and-micro-business" TargetMode="External"/><Relationship Id="rId4" Type="http://schemas.openxmlformats.org/officeDocument/2006/relationships/hyperlink" Target="https://www.gov.scot/publications/scottish-sea-fisheries-statistic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etadata xmlns="http://www.objective.com/ecm/document/metadata/53D26341A57B383EE0540010E0463CCA" version="1.0.0">
  <systemFields>
    <field name="Objective-Id">
      <value order="0">A56685322</value>
    </field>
    <field name="Objective-Title">
      <value order="0">FMPs - Pelagic FMPs - BRIA (clean) - updated 26.06</value>
    </field>
    <field name="Objective-Description">
      <value order="0"/>
    </field>
    <field name="Objective-CreationStamp">
      <value order="0">2026-06-22T15:20:27Z</value>
    </field>
    <field name="Objective-IsApproved">
      <value order="0">false</value>
    </field>
    <field name="Objective-IsPublished">
      <value order="0">false</value>
    </field>
    <field name="Objective-DatePublished">
      <value order="0"/>
    </field>
    <field name="Objective-ModificationStamp">
      <value order="0">2026-06-26T16:26:43Z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vA86164659</value>
    </field>
    <field name="Objective-Version">
      <value order="0">0.3</value>
    </field>
    <field name="Objective-VersionNumber">
      <value order="0">3</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c2a29bdd-637a-4f4b-b2b1-1338f72c8a40">
      <UserInfo>
        <DisplayName/>
        <AccountId xsi:nil="true"/>
        <AccountType/>
      </UserInfo>
    </SharedWithUsers>
    <lcf76f155ced4ddcb4097134ff3c332f xmlns="6da692b3-227a-4171-8454-090f14c532a2">
      <Terms xmlns="http://schemas.microsoft.com/office/infopath/2007/PartnerControls"/>
    </lcf76f155ced4ddcb4097134ff3c332f>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0D36618E-8BAF-420B-BE52-F61FD35E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CC7AF-1CCC-460D-A16F-3BFE5F0727D7}">
  <ds:schemaRefs>
    <ds:schemaRef ds:uri="Microsoft.SharePoint.Taxonomy.ContentTypeSync"/>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BE137CCD-BF8C-420E-94AE-168236BC681C}">
  <ds:schemaRefs>
    <ds:schemaRef ds:uri="http://schemas.microsoft.com/sharepoint/v3/contenttype/forms"/>
  </ds:schemaRefs>
</ds:datastoreItem>
</file>

<file path=customXml/itemProps5.xml><?xml version="1.0" encoding="utf-8"?>
<ds:datastoreItem xmlns:ds="http://schemas.openxmlformats.org/officeDocument/2006/customXml" ds:itemID="{D8AF3F5B-2E8A-4A19-920A-2AE8E6596A4F}">
  <ds:schemaRefs>
    <ds:schemaRef ds:uri="http://schemas.openxmlformats.org/officeDocument/2006/bibliography"/>
  </ds:schemaRefs>
</ds:datastoreItem>
</file>

<file path=customXml/itemProps6.xml><?xml version="1.0" encoding="utf-8"?>
<ds:datastoreItem xmlns:ds="http://schemas.openxmlformats.org/officeDocument/2006/customXml" ds:itemID="{E0139264-B172-403E-8B3B-A7396A99B02E}">
  <ds:schemaRefs>
    <ds:schemaRef ds:uri="http://schemas.microsoft.com/office/2006/metadata/properties"/>
    <ds:schemaRef ds:uri="http://schemas.microsoft.com/office/infopath/2007/PartnerControls"/>
    <ds:schemaRef ds:uri="c2a29bdd-637a-4f4b-b2b1-1338f72c8a40"/>
    <ds:schemaRef ds:uri="6da692b3-227a-4171-8454-090f14c532a2"/>
    <ds:schemaRef ds:uri="662745e8-e224-48e8-a2e3-254862b8c2f5"/>
    <ds:schemaRef ds:uri="http://schemas.microsoft.com/sharepoint/v3"/>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14</TotalTime>
  <Pages>27</Pages>
  <Words>8308</Words>
  <Characters>47361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Business and Regulatory Impact Assessment on Demersal Fisheries Management Plans</vt:lpstr>
    </vt:vector>
  </TitlesOfParts>
  <Company>Scottish Government</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and Regulatory Impact Assessment on Pelagic Fisheries Management Plans</dc:title>
  <dc:subject/>
  <dc:creator>Andrew Forrest</dc:creator>
  <cp:keywords/>
  <dc:description/>
  <cp:lastModifiedBy>Oana Racu</cp:lastModifiedBy>
  <cp:revision>19</cp:revision>
  <cp:lastPrinted>2026-01-30T02:03:00Z</cp:lastPrinted>
  <dcterms:created xsi:type="dcterms:W3CDTF">2026-07-01T09:32:00Z</dcterms:created>
  <dcterms:modified xsi:type="dcterms:W3CDTF">2026-07-21T15:23:00Z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A56685322</vt:lpwstr>
  </property>
  <property fmtid="{D5CDD505-2E9C-101B-9397-08002B2CF9AE}" pid="4" name="Objective-Title">
    <vt:lpwstr>FMPs - Pelagic FMPs - BRIA (clean) - updated 26.06</vt:lpwstr>
  </property>
  <property fmtid="{D5CDD505-2E9C-101B-9397-08002B2CF9AE}" pid="5" name="Objective-Description">
    <vt:lpwstr/>
  </property>
  <property fmtid="{D5CDD505-2E9C-101B-9397-08002B2CF9AE}" pid="6" name="Objective-CreationStamp">
    <vt:filetime>2026-06-22T15:20:27Z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2026-06-26T16:26:43Z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vA86164659</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0x010100A5BF1C78D9F64B679A5EBDE1C6598EBC0100B995DD734287084998879E1ED0642FEB</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y fmtid="{D5CDD505-2E9C-101B-9397-08002B2CF9AE}" pid="33" name="InformationType">
    <vt:lpwstr/>
  </property>
  <property fmtid="{D5CDD505-2E9C-101B-9397-08002B2CF9AE}" pid="34" name="Distribution">
    <vt:lpwstr>9;#External|1104eb68-55d8-494f-b6ba-c5473579de73</vt:lpwstr>
  </property>
  <property fmtid="{D5CDD505-2E9C-101B-9397-08002B2CF9AE}" pid="35" name="MediaServiceImageTags">
    <vt:lpwstr/>
  </property>
  <property fmtid="{D5CDD505-2E9C-101B-9397-08002B2CF9AE}" pid="36" name="HOCopyrightLevel">
    <vt:lpwstr>7;#Crown|69589897-2828-4761-976e-717fd8e631c9</vt:lpwstr>
  </property>
  <property fmtid="{D5CDD505-2E9C-101B-9397-08002B2CF9AE}" pid="37" name="HOGovernmentSecurityClassification">
    <vt:lpwstr>6;#Official|14c80daa-741b-422c-9722-f71693c9ede4</vt:lpwstr>
  </property>
  <property fmtid="{D5CDD505-2E9C-101B-9397-08002B2CF9AE}" pid="38" name="OrganisationalUnit">
    <vt:lpwstr>8;#Core Defra|026223dd-2e56-4615-868d-7c5bfd566810</vt:lpwstr>
  </property>
  <property fmtid="{D5CDD505-2E9C-101B-9397-08002B2CF9AE}" pid="39" name="HOSiteType">
    <vt:lpwstr>10;#Team|ff0485df-0575-416f-802f-e999165821b7</vt:lpwstr>
  </property>
  <property fmtid="{D5CDD505-2E9C-101B-9397-08002B2CF9AE}" pid="40" name="Objective-Comment">
    <vt:lpwstr/>
  </property>
  <property fmtid="{D5CDD505-2E9C-101B-9397-08002B2CF9AE}" pid="41" name="ComplianceAssetId">
    <vt:lpwstr/>
  </property>
  <property fmtid="{D5CDD505-2E9C-101B-9397-08002B2CF9AE}" pid="42" name="_ExtendedDescription">
    <vt:lpwstr/>
  </property>
  <property fmtid="{D5CDD505-2E9C-101B-9397-08002B2CF9AE}" pid="43" name="TriggerFlowInfo">
    <vt:lpwstr/>
  </property>
</Properties>
</file>