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2B" w:rsidRPr="00BB47B3" w:rsidRDefault="00C0312B" w:rsidP="00C0312B">
      <w:pPr>
        <w:spacing w:after="200" w:line="240" w:lineRule="auto"/>
        <w:jc w:val="left"/>
        <w:rPr>
          <w:rFonts w:ascii="Calibri" w:hAnsi="Calibri" w:cs="Calibri"/>
          <w:b/>
          <w:sz w:val="28"/>
          <w:szCs w:val="28"/>
          <w:u w:val="single"/>
        </w:rPr>
      </w:pPr>
      <w:r w:rsidRPr="00BB47B3">
        <w:rPr>
          <w:rFonts w:ascii="Calibri" w:hAnsi="Calibri" w:cs="Calibri"/>
          <w:b/>
          <w:sz w:val="28"/>
          <w:szCs w:val="28"/>
          <w:u w:val="single"/>
        </w:rPr>
        <w:t xml:space="preserve">The features of each tier of authorisation are mostly* fine, but the </w:t>
      </w:r>
      <w:r w:rsidRPr="00BB47B3">
        <w:rPr>
          <w:rFonts w:ascii="Calibri" w:hAnsi="Calibri" w:cs="Calibri"/>
          <w:b/>
          <w:i/>
          <w:sz w:val="28"/>
          <w:szCs w:val="28"/>
          <w:u w:val="single"/>
        </w:rPr>
        <w:t>term</w:t>
      </w:r>
      <w:r w:rsidRPr="00BB47B3">
        <w:rPr>
          <w:rFonts w:ascii="Calibri" w:hAnsi="Calibri" w:cs="Calibri"/>
          <w:b/>
          <w:sz w:val="28"/>
          <w:szCs w:val="28"/>
          <w:u w:val="single"/>
        </w:rPr>
        <w:t xml:space="preserve"> used for each tier should reflect the distinguishing feature(s) of the tier.</w:t>
      </w:r>
    </w:p>
    <w:p w:rsidR="00C0312B" w:rsidRPr="00BB47B3" w:rsidRDefault="00C0312B" w:rsidP="00C0312B">
      <w:pPr>
        <w:spacing w:after="200" w:line="240" w:lineRule="auto"/>
        <w:jc w:val="left"/>
        <w:rPr>
          <w:rFonts w:ascii="Calibri" w:hAnsi="Calibri" w:cs="Calibri"/>
          <w:sz w:val="22"/>
          <w:szCs w:val="22"/>
        </w:rPr>
      </w:pPr>
      <w:r w:rsidRPr="00BB47B3">
        <w:rPr>
          <w:rFonts w:ascii="Calibri" w:hAnsi="Calibri" w:cs="Calibri"/>
          <w:sz w:val="22"/>
          <w:szCs w:val="22"/>
        </w:rPr>
        <w:t xml:space="preserve">How does each tier of authorisation differ from the previous tier? </w:t>
      </w:r>
      <w:proofErr w:type="gramStart"/>
      <w:r w:rsidRPr="00BB47B3">
        <w:rPr>
          <w:rFonts w:ascii="Calibri" w:hAnsi="Calibri" w:cs="Calibri"/>
          <w:sz w:val="22"/>
          <w:szCs w:val="22"/>
        </w:rPr>
        <w:t>All the</w:t>
      </w:r>
      <w:proofErr w:type="gramEnd"/>
      <w:r w:rsidRPr="00BB47B3">
        <w:rPr>
          <w:rFonts w:ascii="Calibri" w:hAnsi="Calibri" w:cs="Calibri"/>
          <w:sz w:val="22"/>
          <w:szCs w:val="22"/>
        </w:rPr>
        <w:t xml:space="preserve"> tiers feature activity-specific standard rules in some form or other; Tier 1 features only such rules. New features of each successive tier are shown in bold in the table below, as follows:</w:t>
      </w:r>
    </w:p>
    <w:p w:rsidR="00C0312B" w:rsidRPr="00BB47B3" w:rsidRDefault="00C0312B" w:rsidP="00C0312B">
      <w:pPr>
        <w:pStyle w:val="ListParagraph"/>
        <w:numPr>
          <w:ilvl w:val="0"/>
          <w:numId w:val="1"/>
        </w:numPr>
        <w:rPr>
          <w:rFonts w:cs="Calibri"/>
        </w:rPr>
      </w:pPr>
      <w:r w:rsidRPr="00BB47B3">
        <w:rPr>
          <w:rFonts w:cs="Calibri"/>
        </w:rPr>
        <w:t>Tier 2 introduces contact with SEPA and registration of details (e.g. location). (*At this tier no document is issued, so it would be unfair for SEPA to identify an ‘authorised person’.)</w:t>
      </w:r>
    </w:p>
    <w:p w:rsidR="00C0312B" w:rsidRPr="00BB47B3" w:rsidRDefault="00C0312B" w:rsidP="00C0312B">
      <w:pPr>
        <w:pStyle w:val="ListParagraph"/>
        <w:numPr>
          <w:ilvl w:val="0"/>
          <w:numId w:val="1"/>
        </w:numPr>
        <w:rPr>
          <w:rFonts w:cs="Calibri"/>
        </w:rPr>
      </w:pPr>
      <w:r w:rsidRPr="00BB47B3">
        <w:rPr>
          <w:rFonts w:cs="Calibri"/>
        </w:rPr>
        <w:t xml:space="preserve">Tier 3 introduces prior assessment and issue of a document to an authorised person. </w:t>
      </w:r>
    </w:p>
    <w:p w:rsidR="00C0312B" w:rsidRPr="00BB47B3" w:rsidRDefault="00C0312B" w:rsidP="00C0312B">
      <w:pPr>
        <w:pStyle w:val="ListParagraph"/>
        <w:numPr>
          <w:ilvl w:val="0"/>
          <w:numId w:val="1"/>
        </w:numPr>
        <w:rPr>
          <w:rFonts w:cs="Calibri"/>
        </w:rPr>
      </w:pPr>
      <w:r w:rsidRPr="00BB47B3">
        <w:rPr>
          <w:rFonts w:cs="Calibri"/>
        </w:rPr>
        <w:t>Tier 4 introduces a longer determination period and site-specific conditions.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633"/>
        <w:gridCol w:w="1847"/>
        <w:gridCol w:w="1969"/>
        <w:gridCol w:w="2068"/>
      </w:tblGrid>
      <w:tr w:rsidR="00C0312B" w:rsidRPr="00BB47B3" w:rsidTr="00D335C2"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tier of authorisation</w:t>
            </w:r>
          </w:p>
        </w:tc>
        <w:tc>
          <w:tcPr>
            <w:tcW w:w="0" w:type="auto"/>
            <w:shd w:val="clear" w:color="auto" w:fill="C5E0B3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BDD6EE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FFE599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4.</w:t>
            </w:r>
          </w:p>
        </w:tc>
      </w:tr>
      <w:tr w:rsidR="00C0312B" w:rsidRPr="00BB47B3" w:rsidTr="00D335C2"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level of need for regulatory intervention (cumulative)</w:t>
            </w:r>
          </w:p>
        </w:tc>
        <w:tc>
          <w:tcPr>
            <w:tcW w:w="0" w:type="auto"/>
            <w:shd w:val="clear" w:color="auto" w:fill="C5E0B3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activity needs to be regulated</w:t>
            </w:r>
          </w:p>
        </w:tc>
        <w:tc>
          <w:tcPr>
            <w:tcW w:w="0" w:type="auto"/>
            <w:shd w:val="clear" w:color="auto" w:fill="BDD6EE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 xml:space="preserve">SEPA needs to know location of activity or keep a statutory </w:t>
            </w: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register</w:t>
            </w:r>
          </w:p>
        </w:tc>
        <w:tc>
          <w:tcPr>
            <w:tcW w:w="0" w:type="auto"/>
            <w:shd w:val="clear" w:color="auto" w:fill="FFE599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 xml:space="preserve">SEPA needs to </w:t>
            </w: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prior-assess</w:t>
            </w:r>
            <w:r w:rsidRPr="00BB47B3">
              <w:rPr>
                <w:rFonts w:ascii="Calibri" w:hAnsi="Calibri" w:cs="Calibri"/>
                <w:i/>
                <w:sz w:val="22"/>
                <w:szCs w:val="22"/>
              </w:rPr>
              <w:t xml:space="preserve"> suit-ability of activity in that location</w:t>
            </w:r>
          </w:p>
        </w:tc>
        <w:tc>
          <w:tcPr>
            <w:tcW w:w="0" w:type="auto"/>
            <w:shd w:val="clear" w:color="auto" w:fill="F7CAAC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 xml:space="preserve">SEPA needs to manage </w:t>
            </w: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specific risks</w:t>
            </w:r>
            <w:r w:rsidRPr="00BB47B3">
              <w:rPr>
                <w:rFonts w:ascii="Calibri" w:hAnsi="Calibri" w:cs="Calibri"/>
                <w:i/>
                <w:sz w:val="22"/>
                <w:szCs w:val="22"/>
              </w:rPr>
              <w:t xml:space="preserve"> of activity in that location</w:t>
            </w:r>
          </w:p>
        </w:tc>
      </w:tr>
      <w:tr w:rsidR="00C0312B" w:rsidRPr="00BB47B3" w:rsidTr="00D335C2">
        <w:tc>
          <w:tcPr>
            <w:tcW w:w="0" w:type="auto"/>
            <w:shd w:val="clear" w:color="auto" w:fill="C5E0B3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activity-specific standard rules</w:t>
            </w:r>
          </w:p>
        </w:tc>
        <w:tc>
          <w:tcPr>
            <w:tcW w:w="0" w:type="auto"/>
            <w:shd w:val="clear" w:color="auto" w:fill="C5E0B3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GBRs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published in legislation</w:t>
            </w:r>
          </w:p>
        </w:tc>
        <w:tc>
          <w:tcPr>
            <w:tcW w:w="0" w:type="auto"/>
            <w:shd w:val="clear" w:color="auto" w:fill="BDD6EE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GBRs published in legislation</w:t>
            </w:r>
          </w:p>
        </w:tc>
        <w:tc>
          <w:tcPr>
            <w:tcW w:w="0" w:type="auto"/>
            <w:shd w:val="clear" w:color="auto" w:fill="FFE599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standard permit conditions or rules published on SEPA website</w:t>
            </w:r>
          </w:p>
        </w:tc>
        <w:tc>
          <w:tcPr>
            <w:tcW w:w="0" w:type="auto"/>
            <w:shd w:val="clear" w:color="auto" w:fill="F7CAAC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standard permit conditions or rules published on SEPA website</w:t>
            </w:r>
          </w:p>
        </w:tc>
      </w:tr>
      <w:tr w:rsidR="00C0312B" w:rsidRPr="00BB47B3" w:rsidTr="00D335C2">
        <w:tc>
          <w:tcPr>
            <w:tcW w:w="0" w:type="auto"/>
            <w:shd w:val="clear" w:color="auto" w:fill="BDD6EE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contact with and response by SEPA</w:t>
            </w:r>
          </w:p>
        </w:tc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BDD6EE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 xml:space="preserve">person 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notifies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SEPA of location; SEPA 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registers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location and/or name of relevant person</w:t>
            </w:r>
          </w:p>
        </w:tc>
        <w:tc>
          <w:tcPr>
            <w:tcW w:w="0" w:type="auto"/>
            <w:shd w:val="clear" w:color="auto" w:fill="FFE599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 xml:space="preserve">person applies to SEPA for authorisation; SEPA carries out simple 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assessment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in 28 days</w:t>
            </w:r>
          </w:p>
        </w:tc>
        <w:tc>
          <w:tcPr>
            <w:tcW w:w="0" w:type="auto"/>
            <w:shd w:val="clear" w:color="auto" w:fill="F7CAAC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 xml:space="preserve">person applies to SEPA for authorisation; SEPA carries out 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 xml:space="preserve">detailed </w:t>
            </w:r>
            <w:r w:rsidRPr="00BB47B3">
              <w:rPr>
                <w:rFonts w:ascii="Calibri" w:hAnsi="Calibri" w:cs="Calibri"/>
                <w:sz w:val="22"/>
                <w:szCs w:val="22"/>
              </w:rPr>
              <w:t>assessment in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 xml:space="preserve"> 4 months </w:t>
            </w:r>
            <w:r w:rsidRPr="00BB47B3">
              <w:rPr>
                <w:rFonts w:ascii="Calibri" w:hAnsi="Calibri" w:cs="Calibri"/>
                <w:sz w:val="22"/>
                <w:szCs w:val="22"/>
              </w:rPr>
              <w:t>(or longer)</w:t>
            </w:r>
          </w:p>
        </w:tc>
      </w:tr>
      <w:tr w:rsidR="00C0312B" w:rsidRPr="00BB47B3" w:rsidTr="00D335C2">
        <w:tc>
          <w:tcPr>
            <w:tcW w:w="0" w:type="auto"/>
            <w:shd w:val="clear" w:color="auto" w:fill="FFE599"/>
          </w:tcPr>
          <w:p w:rsidR="00C0312B" w:rsidRPr="00BB47B3" w:rsidRDefault="00C0312B" w:rsidP="00D335C2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document issued to authorised person</w:t>
            </w:r>
          </w:p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FFE599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document issued to authorised person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with standard rules or conditions only</w:t>
            </w:r>
          </w:p>
        </w:tc>
        <w:tc>
          <w:tcPr>
            <w:tcW w:w="0" w:type="auto"/>
            <w:shd w:val="clear" w:color="auto" w:fill="F7CAAC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document issued to authorised person with standard rules or conditions and …</w:t>
            </w:r>
          </w:p>
        </w:tc>
      </w:tr>
      <w:tr w:rsidR="00C0312B" w:rsidRPr="00BB47B3" w:rsidTr="00D335C2">
        <w:tc>
          <w:tcPr>
            <w:tcW w:w="0" w:type="auto"/>
            <w:shd w:val="clear" w:color="auto" w:fill="F7CAAC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site-specific conditions</w:t>
            </w:r>
          </w:p>
        </w:tc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i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F7CAAC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site-specific conditions</w:t>
            </w:r>
          </w:p>
        </w:tc>
      </w:tr>
      <w:tr w:rsidR="00C0312B" w:rsidRPr="00BB47B3" w:rsidTr="00D335C2">
        <w:tc>
          <w:tcPr>
            <w:tcW w:w="0" w:type="auto"/>
            <w:shd w:val="clear" w:color="auto" w:fill="FFFF00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b/>
                <w:i/>
                <w:sz w:val="22"/>
                <w:szCs w:val="22"/>
              </w:rPr>
              <w:t>suggested term for tier of authorisation</w:t>
            </w:r>
          </w:p>
        </w:tc>
        <w:tc>
          <w:tcPr>
            <w:tcW w:w="0" w:type="auto"/>
            <w:shd w:val="clear" w:color="auto" w:fill="FFFF00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‘GBRs’ (or ‘GBRS without notification/ registration’)</w:t>
            </w:r>
          </w:p>
        </w:tc>
        <w:tc>
          <w:tcPr>
            <w:tcW w:w="0" w:type="auto"/>
            <w:shd w:val="clear" w:color="auto" w:fill="FFFF00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 xml:space="preserve">‘GBRs with 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notification</w:t>
            </w:r>
            <w:r w:rsidRPr="00BB47B3">
              <w:rPr>
                <w:rFonts w:ascii="Calibri" w:hAnsi="Calibri" w:cs="Calibri"/>
                <w:sz w:val="22"/>
                <w:szCs w:val="22"/>
              </w:rPr>
              <w:t>’ or</w:t>
            </w:r>
          </w:p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 xml:space="preserve">‘GBRs with 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registration</w:t>
            </w:r>
            <w:r w:rsidRPr="00BB47B3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0" w:type="auto"/>
            <w:shd w:val="clear" w:color="auto" w:fill="FFFF00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‘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simple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permit’, </w:t>
            </w:r>
          </w:p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‘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standard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permit’ or ‘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standard rules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permit’</w:t>
            </w:r>
          </w:p>
        </w:tc>
        <w:tc>
          <w:tcPr>
            <w:tcW w:w="0" w:type="auto"/>
            <w:shd w:val="clear" w:color="auto" w:fill="FFFF00"/>
          </w:tcPr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‘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complex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permit’,</w:t>
            </w:r>
          </w:p>
          <w:p w:rsidR="00C0312B" w:rsidRPr="00BB47B3" w:rsidRDefault="00C0312B" w:rsidP="00D335C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47B3">
              <w:rPr>
                <w:rFonts w:ascii="Calibri" w:hAnsi="Calibri" w:cs="Calibri"/>
                <w:sz w:val="22"/>
                <w:szCs w:val="22"/>
              </w:rPr>
              <w:t>‘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non-standard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permit’ or ‘</w:t>
            </w:r>
            <w:r w:rsidRPr="00BB47B3">
              <w:rPr>
                <w:rFonts w:ascii="Calibri" w:hAnsi="Calibri" w:cs="Calibri"/>
                <w:b/>
                <w:sz w:val="22"/>
                <w:szCs w:val="22"/>
              </w:rPr>
              <w:t>site-specific</w:t>
            </w:r>
            <w:r w:rsidRPr="00BB47B3">
              <w:rPr>
                <w:rFonts w:ascii="Calibri" w:hAnsi="Calibri" w:cs="Calibri"/>
                <w:sz w:val="22"/>
                <w:szCs w:val="22"/>
              </w:rPr>
              <w:t xml:space="preserve"> permit’</w:t>
            </w:r>
          </w:p>
        </w:tc>
      </w:tr>
    </w:tbl>
    <w:p w:rsidR="00C0312B" w:rsidRPr="00BB47B3" w:rsidRDefault="00C0312B" w:rsidP="00C0312B">
      <w:pPr>
        <w:rPr>
          <w:rFonts w:ascii="Calibri" w:hAnsi="Calibri" w:cs="Calibri"/>
          <w:sz w:val="22"/>
          <w:szCs w:val="22"/>
        </w:rPr>
      </w:pPr>
    </w:p>
    <w:p w:rsidR="00C0312B" w:rsidRPr="00BB47B3" w:rsidRDefault="00C0312B" w:rsidP="00C0312B">
      <w:pPr>
        <w:spacing w:after="200" w:line="240" w:lineRule="auto"/>
        <w:jc w:val="left"/>
        <w:rPr>
          <w:rFonts w:ascii="Calibri" w:hAnsi="Calibri" w:cs="Calibri"/>
          <w:sz w:val="22"/>
          <w:szCs w:val="22"/>
        </w:rPr>
      </w:pPr>
      <w:r w:rsidRPr="00BB47B3">
        <w:rPr>
          <w:rFonts w:ascii="Calibri" w:hAnsi="Calibri" w:cs="Calibri"/>
          <w:sz w:val="22"/>
          <w:szCs w:val="22"/>
        </w:rPr>
        <w:t>Tier 2 is currently described using the term ‘notification’, but it is distinguished from Tier 1 by both a process of ‘notification’ and a process of ‘registration’. Authorisation is granted subject to standard pre-published rules. The terms suggested for Tier 2 in the final row of the table above reflect this.</w:t>
      </w:r>
    </w:p>
    <w:p w:rsidR="00C0312B" w:rsidRPr="00450EFA" w:rsidRDefault="00C0312B" w:rsidP="00C0312B">
      <w:pPr>
        <w:pStyle w:val="BodyText3"/>
        <w:jc w:val="left"/>
      </w:pPr>
      <w:r w:rsidRPr="00450EFA">
        <w:t>Tier 3 is currently described using the term ‘registration’, but the process of registration is a distinguishing feature of Tier 2. The distinguishing feature of Tier 3 is the issue of a document or permit to an authorised person. The terms suggested for Tier 3 in the final row reflect this.</w:t>
      </w:r>
    </w:p>
    <w:p w:rsidR="003C3C03" w:rsidRDefault="00C0312B" w:rsidP="00C0312B">
      <w:pPr>
        <w:pStyle w:val="BodyText3"/>
        <w:jc w:val="left"/>
      </w:pPr>
      <w:r w:rsidRPr="00450EFA">
        <w:t>Tier 4 is currently described using the term ‘permit’, but the issue of a permit is a distinguishing feature of Tier 3. The distinguishing feature of Tier 4 is the complexity of the assessment and the need for site-specific conditions. The terms suggested for Tier 4 in the final row reflect this.</w:t>
      </w:r>
      <w:bookmarkStart w:id="0" w:name="_GoBack"/>
      <w:bookmarkEnd w:id="0"/>
    </w:p>
    <w:sectPr w:rsidR="003C3C03" w:rsidSect="00C0312B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ottish Government Logo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3F" w:rsidRDefault="00C0312B" w:rsidP="008E11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783F" w:rsidRDefault="00C031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3F" w:rsidRDefault="00C0312B" w:rsidP="008E11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078F4" w:rsidRDefault="00C0312B">
    <w:pPr>
      <w:pStyle w:val="Footer"/>
      <w:jc w:val="center"/>
    </w:pPr>
  </w:p>
  <w:p w:rsidR="00F078F4" w:rsidRPr="0067486A" w:rsidRDefault="00C0312B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83F" w:rsidRDefault="00C0312B" w:rsidP="008E11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078F4" w:rsidRPr="00E63CB9" w:rsidRDefault="00C0312B" w:rsidP="00E63CB9"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ind w:left="720"/>
      <w:jc w:val="left"/>
      <w:rPr>
        <w:rFonts w:ascii="Scottish Government Logo" w:hAnsi="Scottish Government Logo" w:cs="Scottish Government Logo"/>
        <w:color w:val="FFFFFF"/>
        <w:szCs w:val="24"/>
        <w:lang w:eastAsia="en-G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F4" w:rsidRPr="0067486A" w:rsidRDefault="00C0312B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1092"/>
    <w:multiLevelType w:val="hybridMultilevel"/>
    <w:tmpl w:val="EDCC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D4"/>
    <w:rsid w:val="002A49D4"/>
    <w:rsid w:val="003C3C03"/>
    <w:rsid w:val="00C008AF"/>
    <w:rsid w:val="00C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2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12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312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0312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12B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0312B"/>
  </w:style>
  <w:style w:type="paragraph" w:styleId="BodyText">
    <w:name w:val="Body Text"/>
    <w:basedOn w:val="Normal"/>
    <w:link w:val="BodyTextChar"/>
    <w:uiPriority w:val="99"/>
    <w:unhideWhenUsed/>
    <w:rsid w:val="00C0312B"/>
    <w:pPr>
      <w:jc w:val="left"/>
    </w:pPr>
    <w:rPr>
      <w:rFonts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312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12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C0312B"/>
    <w:pPr>
      <w:spacing w:after="200" w:line="240" w:lineRule="auto"/>
    </w:pPr>
    <w:rPr>
      <w:rFonts w:ascii="Calibri" w:hAnsi="Calibri" w:cs="Calibr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C0312B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2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12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312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0312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12B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0312B"/>
  </w:style>
  <w:style w:type="paragraph" w:styleId="BodyText">
    <w:name w:val="Body Text"/>
    <w:basedOn w:val="Normal"/>
    <w:link w:val="BodyTextChar"/>
    <w:uiPriority w:val="99"/>
    <w:unhideWhenUsed/>
    <w:rsid w:val="00C0312B"/>
    <w:pPr>
      <w:jc w:val="left"/>
    </w:pPr>
    <w:rPr>
      <w:rFonts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0312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12B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C0312B"/>
    <w:pPr>
      <w:spacing w:after="200" w:line="240" w:lineRule="auto"/>
    </w:pPr>
    <w:rPr>
      <w:rFonts w:ascii="Calibri" w:hAnsi="Calibri" w:cs="Calibr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C0312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E65B61EB</Template>
  <TotalTime>1</TotalTime>
  <Pages>1</Pages>
  <Words>457</Words>
  <Characters>2605</Characters>
  <Application>Microsoft Office Word</Application>
  <DocSecurity>0</DocSecurity>
  <Lines>21</Lines>
  <Paragraphs>6</Paragraphs>
  <ScaleCrop>false</ScaleCrop>
  <Company>SEPA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Maugeri-Todaro, Franca</dc:creator>
  <cp:keywords/>
  <dc:description/>
  <cp:lastModifiedBy>Maugeri-Todaro, Franca</cp:lastModifiedBy>
  <cp:revision>2</cp:revision>
  <dcterms:created xsi:type="dcterms:W3CDTF">2017-05-16T13:07:00Z</dcterms:created>
  <dcterms:modified xsi:type="dcterms:W3CDTF">2017-05-16T13:08:00Z</dcterms:modified>
</cp:coreProperties>
</file>