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E22F6" w:rsidRDefault="00DF2ACF" w:rsidP="000E22F6">
      <w:pPr>
        <w:spacing w:line="240" w:lineRule="auto"/>
        <w:ind w:left="360"/>
        <w:rPr>
          <w:rStyle w:val="Strong"/>
          <w:rFonts w:cs="Arial"/>
          <w:szCs w:val="24"/>
        </w:rPr>
      </w:pPr>
      <w:r>
        <w:rPr>
          <w:rFonts w:cs="Arial"/>
          <w:b/>
          <w:bCs/>
          <w:noProof/>
          <w:szCs w:val="24"/>
          <w:lang w:eastAsia="en-GB"/>
        </w:rPr>
        <mc:AlternateContent>
          <mc:Choice Requires="wps">
            <w:drawing>
              <wp:anchor distT="0" distB="0" distL="114300" distR="114300" simplePos="0" relativeHeight="251659264" behindDoc="0" locked="0" layoutInCell="1" allowOverlap="1" wp14:anchorId="637EEA66" wp14:editId="16F336CE">
                <wp:simplePos x="0" y="0"/>
                <wp:positionH relativeFrom="margin">
                  <wp:posOffset>-504825</wp:posOffset>
                </wp:positionH>
                <wp:positionV relativeFrom="paragraph">
                  <wp:posOffset>-447675</wp:posOffset>
                </wp:positionV>
                <wp:extent cx="7086600" cy="85058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7086600" cy="8505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F2ACF" w:rsidRPr="0096756C" w:rsidRDefault="00DF2ACF" w:rsidP="00DF2ACF">
                            <w:pPr>
                              <w:spacing w:after="0" w:line="240" w:lineRule="auto"/>
                              <w:ind w:left="357"/>
                              <w:rPr>
                                <w:rStyle w:val="Strong"/>
                                <w:rFonts w:asciiTheme="minorHAnsi" w:hAnsiTheme="minorHAnsi" w:cstheme="minorHAnsi"/>
                                <w:sz w:val="56"/>
                                <w:szCs w:val="72"/>
                              </w:rPr>
                            </w:pPr>
                            <w:r w:rsidRPr="0096756C">
                              <w:rPr>
                                <w:rStyle w:val="Strong"/>
                                <w:rFonts w:asciiTheme="minorHAnsi" w:hAnsiTheme="minorHAnsi" w:cstheme="minorHAnsi"/>
                                <w:sz w:val="56"/>
                                <w:szCs w:val="72"/>
                              </w:rPr>
                              <w:t>Tribunals (Scotland) Act 2014 - Consultation on Draft Regulations regarding:</w:t>
                            </w:r>
                          </w:p>
                          <w:p w:rsidR="00DF2ACF" w:rsidRPr="0096756C" w:rsidRDefault="00DF2ACF" w:rsidP="0096756C">
                            <w:pPr>
                              <w:pStyle w:val="ListParagraph"/>
                              <w:numPr>
                                <w:ilvl w:val="0"/>
                                <w:numId w:val="16"/>
                              </w:numPr>
                              <w:spacing w:after="0" w:line="240" w:lineRule="auto"/>
                              <w:rPr>
                                <w:rStyle w:val="Strong"/>
                                <w:rFonts w:cstheme="minorHAnsi"/>
                                <w:sz w:val="56"/>
                                <w:szCs w:val="72"/>
                              </w:rPr>
                            </w:pPr>
                            <w:r w:rsidRPr="0096756C">
                              <w:rPr>
                                <w:rStyle w:val="Strong"/>
                                <w:rFonts w:cstheme="minorHAnsi"/>
                                <w:sz w:val="56"/>
                                <w:szCs w:val="72"/>
                              </w:rPr>
                              <w:t xml:space="preserve">the Transfer of Functions and Members of the </w:t>
                            </w:r>
                            <w:r w:rsidR="0096756C" w:rsidRPr="0096756C">
                              <w:rPr>
                                <w:rStyle w:val="Strong"/>
                                <w:rFonts w:cstheme="minorHAnsi"/>
                                <w:sz w:val="56"/>
                                <w:szCs w:val="72"/>
                              </w:rPr>
                              <w:t>Additional Support Needs</w:t>
                            </w:r>
                            <w:r w:rsidRPr="0096756C">
                              <w:rPr>
                                <w:rStyle w:val="Strong"/>
                                <w:rFonts w:cstheme="minorHAnsi"/>
                                <w:sz w:val="56"/>
                                <w:szCs w:val="72"/>
                              </w:rPr>
                              <w:t xml:space="preserve"> Tribunals</w:t>
                            </w:r>
                            <w:r w:rsidR="0096756C" w:rsidRPr="0096756C">
                              <w:rPr>
                                <w:rStyle w:val="Strong"/>
                                <w:rFonts w:cstheme="minorHAnsi"/>
                                <w:sz w:val="56"/>
                                <w:szCs w:val="72"/>
                              </w:rPr>
                              <w:t xml:space="preserve"> for Scotland</w:t>
                            </w:r>
                            <w:r w:rsidRPr="0096756C">
                              <w:rPr>
                                <w:rStyle w:val="Strong"/>
                                <w:rFonts w:cstheme="minorHAnsi"/>
                                <w:sz w:val="56"/>
                                <w:szCs w:val="72"/>
                              </w:rPr>
                              <w:t xml:space="preserve"> to the Scottish Tribunals;</w:t>
                            </w:r>
                          </w:p>
                          <w:p w:rsidR="0096756C" w:rsidRPr="0096756C" w:rsidRDefault="0096756C" w:rsidP="0096756C">
                            <w:pPr>
                              <w:pStyle w:val="ListParagraph"/>
                              <w:spacing w:after="0" w:line="240" w:lineRule="auto"/>
                              <w:ind w:left="1122"/>
                              <w:rPr>
                                <w:rStyle w:val="Strong"/>
                                <w:rFonts w:cstheme="minorHAnsi"/>
                                <w:sz w:val="56"/>
                                <w:szCs w:val="72"/>
                              </w:rPr>
                            </w:pPr>
                          </w:p>
                          <w:p w:rsidR="00DF2ACF" w:rsidRPr="0096756C" w:rsidRDefault="00DF2ACF" w:rsidP="0096756C">
                            <w:pPr>
                              <w:pStyle w:val="ListParagraph"/>
                              <w:numPr>
                                <w:ilvl w:val="0"/>
                                <w:numId w:val="16"/>
                              </w:numPr>
                              <w:spacing w:after="0" w:line="240" w:lineRule="auto"/>
                              <w:rPr>
                                <w:rStyle w:val="Strong"/>
                                <w:rFonts w:cstheme="minorHAnsi"/>
                                <w:sz w:val="56"/>
                                <w:szCs w:val="72"/>
                              </w:rPr>
                            </w:pPr>
                            <w:r w:rsidRPr="0096756C">
                              <w:rPr>
                                <w:rStyle w:val="Strong"/>
                                <w:rFonts w:cstheme="minorHAnsi"/>
                                <w:sz w:val="56"/>
                                <w:szCs w:val="72"/>
                              </w:rPr>
                              <w:t xml:space="preserve">the rules of procedure for the First-tier Tribunal for Scotland </w:t>
                            </w:r>
                            <w:r w:rsidR="0096756C" w:rsidRPr="0096756C">
                              <w:rPr>
                                <w:rStyle w:val="Strong"/>
                                <w:rFonts w:cstheme="minorHAnsi"/>
                                <w:sz w:val="56"/>
                                <w:szCs w:val="72"/>
                              </w:rPr>
                              <w:t>Health and Education Chamber</w:t>
                            </w:r>
                            <w:r w:rsidRPr="0096756C">
                              <w:rPr>
                                <w:rStyle w:val="Strong"/>
                                <w:rFonts w:cstheme="minorHAnsi"/>
                                <w:sz w:val="56"/>
                                <w:szCs w:val="72"/>
                              </w:rPr>
                              <w:t xml:space="preserve"> </w:t>
                            </w:r>
                          </w:p>
                          <w:p w:rsidR="0096756C" w:rsidRPr="0096756C" w:rsidRDefault="0096756C" w:rsidP="0096756C">
                            <w:pPr>
                              <w:spacing w:after="0" w:line="240" w:lineRule="auto"/>
                              <w:rPr>
                                <w:rStyle w:val="Strong"/>
                                <w:rFonts w:asciiTheme="minorHAnsi" w:hAnsiTheme="minorHAnsi" w:cstheme="minorHAnsi"/>
                                <w:sz w:val="56"/>
                                <w:szCs w:val="72"/>
                              </w:rPr>
                            </w:pPr>
                          </w:p>
                          <w:p w:rsidR="00DF2ACF" w:rsidRPr="0096756C" w:rsidRDefault="00DF2ACF" w:rsidP="0096756C">
                            <w:pPr>
                              <w:pStyle w:val="ListParagraph"/>
                              <w:numPr>
                                <w:ilvl w:val="0"/>
                                <w:numId w:val="16"/>
                              </w:numPr>
                              <w:spacing w:after="0" w:line="240" w:lineRule="auto"/>
                              <w:rPr>
                                <w:rStyle w:val="Strong"/>
                                <w:rFonts w:cstheme="minorHAnsi"/>
                                <w:sz w:val="56"/>
                                <w:szCs w:val="72"/>
                              </w:rPr>
                            </w:pPr>
                            <w:r w:rsidRPr="0096756C">
                              <w:rPr>
                                <w:rStyle w:val="Strong"/>
                                <w:rFonts w:cstheme="minorHAnsi"/>
                                <w:sz w:val="56"/>
                                <w:szCs w:val="72"/>
                              </w:rPr>
                              <w:t>the Composition of the First-tier and Upper Tribunals for Scotland</w:t>
                            </w:r>
                            <w:r w:rsidR="0096756C" w:rsidRPr="0096756C">
                              <w:rPr>
                                <w:rStyle w:val="Strong"/>
                                <w:rFonts w:cstheme="minorHAnsi"/>
                                <w:sz w:val="56"/>
                                <w:szCs w:val="72"/>
                              </w:rPr>
                              <w:t xml:space="preserve"> and </w:t>
                            </w:r>
                          </w:p>
                          <w:p w:rsidR="0096756C" w:rsidRPr="0096756C" w:rsidRDefault="0096756C" w:rsidP="0096756C">
                            <w:pPr>
                              <w:spacing w:after="0" w:line="240" w:lineRule="auto"/>
                              <w:rPr>
                                <w:rStyle w:val="Strong"/>
                                <w:rFonts w:asciiTheme="minorHAnsi" w:hAnsiTheme="minorHAnsi" w:cstheme="minorHAnsi"/>
                                <w:sz w:val="56"/>
                                <w:szCs w:val="72"/>
                              </w:rPr>
                            </w:pPr>
                          </w:p>
                          <w:p w:rsidR="0096756C" w:rsidRPr="0096756C" w:rsidRDefault="0096756C" w:rsidP="0096756C">
                            <w:pPr>
                              <w:spacing w:after="0" w:line="240" w:lineRule="auto"/>
                              <w:ind w:left="357"/>
                              <w:rPr>
                                <w:rStyle w:val="Strong"/>
                                <w:rFonts w:asciiTheme="minorHAnsi" w:hAnsiTheme="minorHAnsi" w:cstheme="minorHAnsi"/>
                                <w:sz w:val="56"/>
                                <w:szCs w:val="72"/>
                              </w:rPr>
                            </w:pPr>
                            <w:r w:rsidRPr="0096756C">
                              <w:rPr>
                                <w:rStyle w:val="Strong"/>
                                <w:rFonts w:asciiTheme="minorHAnsi" w:hAnsiTheme="minorHAnsi" w:cstheme="minorHAnsi"/>
                                <w:sz w:val="56"/>
                                <w:szCs w:val="72"/>
                              </w:rPr>
                              <w:t>(4) Eligibility criteria for ordinary members</w:t>
                            </w:r>
                          </w:p>
                          <w:p w:rsidR="0096756C" w:rsidRDefault="0096756C" w:rsidP="0096756C">
                            <w:pPr>
                              <w:spacing w:after="0" w:line="240" w:lineRule="auto"/>
                              <w:rPr>
                                <w:rStyle w:val="Strong"/>
                                <w:rFonts w:asciiTheme="minorHAnsi" w:hAnsiTheme="minorHAnsi" w:cstheme="minorHAnsi"/>
                                <w:sz w:val="56"/>
                                <w:szCs w:val="72"/>
                              </w:rPr>
                            </w:pPr>
                          </w:p>
                          <w:p w:rsidR="0096756C" w:rsidRDefault="0096756C" w:rsidP="0096756C">
                            <w:pPr>
                              <w:spacing w:after="0" w:line="240" w:lineRule="auto"/>
                              <w:rPr>
                                <w:rStyle w:val="Strong"/>
                                <w:rFonts w:asciiTheme="minorHAnsi" w:hAnsiTheme="minorHAnsi" w:cstheme="minorHAnsi"/>
                                <w:sz w:val="56"/>
                                <w:szCs w:val="72"/>
                              </w:rPr>
                            </w:pPr>
                          </w:p>
                          <w:p w:rsidR="00B927FE" w:rsidRPr="0096756C" w:rsidRDefault="0096756C" w:rsidP="0096756C">
                            <w:pPr>
                              <w:spacing w:after="0" w:line="240" w:lineRule="auto"/>
                              <w:rPr>
                                <w:rStyle w:val="Strong"/>
                                <w:rFonts w:asciiTheme="minorHAnsi" w:hAnsiTheme="minorHAnsi" w:cstheme="minorHAnsi"/>
                                <w:sz w:val="56"/>
                                <w:szCs w:val="72"/>
                              </w:rPr>
                            </w:pPr>
                            <w:r>
                              <w:rPr>
                                <w:rStyle w:val="Strong"/>
                                <w:rFonts w:asciiTheme="minorHAnsi" w:hAnsiTheme="minorHAnsi" w:cstheme="minorHAnsi"/>
                                <w:sz w:val="56"/>
                                <w:szCs w:val="72"/>
                              </w:rPr>
                              <w:t>Analysis of Responses</w:t>
                            </w:r>
                          </w:p>
                          <w:p w:rsidR="00677F21" w:rsidRDefault="00677F21" w:rsidP="00862BA9">
                            <w:pPr>
                              <w:spacing w:after="0" w:line="240" w:lineRule="auto"/>
                              <w:ind w:left="357"/>
                              <w:rPr>
                                <w:rStyle w:val="Strong"/>
                                <w:rFonts w:asciiTheme="minorHAnsi" w:hAnsiTheme="minorHAnsi" w:cstheme="minorHAnsi"/>
                                <w:sz w:val="72"/>
                                <w:szCs w:val="72"/>
                              </w:rPr>
                            </w:pPr>
                          </w:p>
                          <w:p w:rsidR="00677F21" w:rsidRPr="00862BA9" w:rsidRDefault="00677F21" w:rsidP="00862BA9">
                            <w:pPr>
                              <w:spacing w:after="0" w:line="240" w:lineRule="auto"/>
                              <w:ind w:left="357"/>
                              <w:rPr>
                                <w:rStyle w:val="Strong"/>
                                <w:rFonts w:asciiTheme="minorHAnsi" w:hAnsiTheme="minorHAnsi" w:cstheme="minorHAnsi"/>
                                <w:sz w:val="72"/>
                                <w:szCs w:val="72"/>
                              </w:rPr>
                            </w:pPr>
                          </w:p>
                          <w:p w:rsidR="007B013A" w:rsidRDefault="007B01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9.75pt;margin-top:-35.25pt;width:558pt;height:66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" fillcolor="white [3201]" stroked="f" strokeweight=".5pt">
                <v:textbox>
                  <w:txbxContent>
                    <w:p w:rsidR="00DF2ACF" w:rsidRPr="0096756C" w:rsidRDefault="00DF2ACF" w:rsidP="00DF2ACF">
                      <w:pPr>
                        <w:spacing w:after="0" w:line="240" w:lineRule="auto"/>
                        <w:ind w:left="357"/>
                        <w:rPr>
                          <w:rStyle w:val="Strong"/>
                          <w:rFonts w:asciiTheme="minorHAnsi" w:hAnsiTheme="minorHAnsi" w:cstheme="minorHAnsi"/>
                          <w:sz w:val="56"/>
                          <w:szCs w:val="72"/>
                        </w:rPr>
                      </w:pPr>
                      <w:r w:rsidRPr="0096756C">
                        <w:rPr>
                          <w:rStyle w:val="Strong"/>
                          <w:rFonts w:asciiTheme="minorHAnsi" w:hAnsiTheme="minorHAnsi" w:cstheme="minorHAnsi"/>
                          <w:sz w:val="56"/>
                          <w:szCs w:val="72"/>
                        </w:rPr>
                        <w:t>Tribunals (Scotland) Act 2014 - Consultation on Draft Regulations regarding:</w:t>
                      </w:r>
                    </w:p>
                    <w:p w:rsidR="00DF2ACF" w:rsidRPr="0096756C" w:rsidRDefault="00DF2ACF" w:rsidP="0096756C">
                      <w:pPr>
                        <w:pStyle w:val="ListParagraph"/>
                        <w:numPr>
                          <w:ilvl w:val="0"/>
                          <w:numId w:val="16"/>
                        </w:numPr>
                        <w:spacing w:after="0" w:line="240" w:lineRule="auto"/>
                        <w:rPr>
                          <w:rStyle w:val="Strong"/>
                          <w:rFonts w:cstheme="minorHAnsi"/>
                          <w:sz w:val="56"/>
                          <w:szCs w:val="72"/>
                        </w:rPr>
                      </w:pPr>
                      <w:r w:rsidRPr="0096756C">
                        <w:rPr>
                          <w:rStyle w:val="Strong"/>
                          <w:rFonts w:cstheme="minorHAnsi"/>
                          <w:sz w:val="56"/>
                          <w:szCs w:val="72"/>
                        </w:rPr>
                        <w:t xml:space="preserve">the Transfer of Functions and Members of the </w:t>
                      </w:r>
                      <w:r w:rsidR="0096756C" w:rsidRPr="0096756C">
                        <w:rPr>
                          <w:rStyle w:val="Strong"/>
                          <w:rFonts w:cstheme="minorHAnsi"/>
                          <w:sz w:val="56"/>
                          <w:szCs w:val="72"/>
                        </w:rPr>
                        <w:t>Additional Support Needs</w:t>
                      </w:r>
                      <w:r w:rsidRPr="0096756C">
                        <w:rPr>
                          <w:rStyle w:val="Strong"/>
                          <w:rFonts w:cstheme="minorHAnsi"/>
                          <w:sz w:val="56"/>
                          <w:szCs w:val="72"/>
                        </w:rPr>
                        <w:t xml:space="preserve"> Tribunals</w:t>
                      </w:r>
                      <w:r w:rsidR="0096756C" w:rsidRPr="0096756C">
                        <w:rPr>
                          <w:rStyle w:val="Strong"/>
                          <w:rFonts w:cstheme="minorHAnsi"/>
                          <w:sz w:val="56"/>
                          <w:szCs w:val="72"/>
                        </w:rPr>
                        <w:t xml:space="preserve"> for Scotland</w:t>
                      </w:r>
                      <w:r w:rsidRPr="0096756C">
                        <w:rPr>
                          <w:rStyle w:val="Strong"/>
                          <w:rFonts w:cstheme="minorHAnsi"/>
                          <w:sz w:val="56"/>
                          <w:szCs w:val="72"/>
                        </w:rPr>
                        <w:t xml:space="preserve"> to the Scottish Tribunals;</w:t>
                      </w:r>
                    </w:p>
                    <w:p w:rsidR="0096756C" w:rsidRPr="0096756C" w:rsidRDefault="0096756C" w:rsidP="0096756C">
                      <w:pPr>
                        <w:pStyle w:val="ListParagraph"/>
                        <w:spacing w:after="0" w:line="240" w:lineRule="auto"/>
                        <w:ind w:left="1122"/>
                        <w:rPr>
                          <w:rStyle w:val="Strong"/>
                          <w:rFonts w:cstheme="minorHAnsi"/>
                          <w:sz w:val="56"/>
                          <w:szCs w:val="72"/>
                        </w:rPr>
                      </w:pPr>
                    </w:p>
                    <w:p w:rsidR="00DF2ACF" w:rsidRPr="0096756C" w:rsidRDefault="00DF2ACF" w:rsidP="0096756C">
                      <w:pPr>
                        <w:pStyle w:val="ListParagraph"/>
                        <w:numPr>
                          <w:ilvl w:val="0"/>
                          <w:numId w:val="16"/>
                        </w:numPr>
                        <w:spacing w:after="0" w:line="240" w:lineRule="auto"/>
                        <w:rPr>
                          <w:rStyle w:val="Strong"/>
                          <w:rFonts w:cstheme="minorHAnsi"/>
                          <w:sz w:val="56"/>
                          <w:szCs w:val="72"/>
                        </w:rPr>
                      </w:pPr>
                      <w:r w:rsidRPr="0096756C">
                        <w:rPr>
                          <w:rStyle w:val="Strong"/>
                          <w:rFonts w:cstheme="minorHAnsi"/>
                          <w:sz w:val="56"/>
                          <w:szCs w:val="72"/>
                        </w:rPr>
                        <w:t xml:space="preserve">the rules of procedure for the First-tier Tribunal for Scotland </w:t>
                      </w:r>
                      <w:r w:rsidR="0096756C" w:rsidRPr="0096756C">
                        <w:rPr>
                          <w:rStyle w:val="Strong"/>
                          <w:rFonts w:cstheme="minorHAnsi"/>
                          <w:sz w:val="56"/>
                          <w:szCs w:val="72"/>
                        </w:rPr>
                        <w:t>Health and Education Chamber</w:t>
                      </w:r>
                      <w:r w:rsidRPr="0096756C">
                        <w:rPr>
                          <w:rStyle w:val="Strong"/>
                          <w:rFonts w:cstheme="minorHAnsi"/>
                          <w:sz w:val="56"/>
                          <w:szCs w:val="72"/>
                        </w:rPr>
                        <w:t xml:space="preserve"> </w:t>
                      </w:r>
                    </w:p>
                    <w:p w:rsidR="0096756C" w:rsidRPr="0096756C" w:rsidRDefault="0096756C" w:rsidP="0096756C">
                      <w:pPr>
                        <w:spacing w:after="0" w:line="240" w:lineRule="auto"/>
                        <w:rPr>
                          <w:rStyle w:val="Strong"/>
                          <w:rFonts w:asciiTheme="minorHAnsi" w:hAnsiTheme="minorHAnsi" w:cstheme="minorHAnsi"/>
                          <w:sz w:val="56"/>
                          <w:szCs w:val="72"/>
                        </w:rPr>
                      </w:pPr>
                    </w:p>
                    <w:p w:rsidR="00DF2ACF" w:rsidRPr="0096756C" w:rsidRDefault="00DF2ACF" w:rsidP="0096756C">
                      <w:pPr>
                        <w:pStyle w:val="ListParagraph"/>
                        <w:numPr>
                          <w:ilvl w:val="0"/>
                          <w:numId w:val="16"/>
                        </w:numPr>
                        <w:spacing w:after="0" w:line="240" w:lineRule="auto"/>
                        <w:rPr>
                          <w:rStyle w:val="Strong"/>
                          <w:rFonts w:cstheme="minorHAnsi"/>
                          <w:sz w:val="56"/>
                          <w:szCs w:val="72"/>
                        </w:rPr>
                      </w:pPr>
                      <w:r w:rsidRPr="0096756C">
                        <w:rPr>
                          <w:rStyle w:val="Strong"/>
                          <w:rFonts w:cstheme="minorHAnsi"/>
                          <w:sz w:val="56"/>
                          <w:szCs w:val="72"/>
                        </w:rPr>
                        <w:t>the Composition of the First-tier and Upper Tribunals for Scotland</w:t>
                      </w:r>
                      <w:r w:rsidR="0096756C" w:rsidRPr="0096756C">
                        <w:rPr>
                          <w:rStyle w:val="Strong"/>
                          <w:rFonts w:cstheme="minorHAnsi"/>
                          <w:sz w:val="56"/>
                          <w:szCs w:val="72"/>
                        </w:rPr>
                        <w:t xml:space="preserve"> and </w:t>
                      </w:r>
                    </w:p>
                    <w:p w:rsidR="0096756C" w:rsidRPr="0096756C" w:rsidRDefault="0096756C" w:rsidP="0096756C">
                      <w:pPr>
                        <w:spacing w:after="0" w:line="240" w:lineRule="auto"/>
                        <w:rPr>
                          <w:rStyle w:val="Strong"/>
                          <w:rFonts w:asciiTheme="minorHAnsi" w:hAnsiTheme="minorHAnsi" w:cstheme="minorHAnsi"/>
                          <w:sz w:val="56"/>
                          <w:szCs w:val="72"/>
                        </w:rPr>
                      </w:pPr>
                    </w:p>
                    <w:p w:rsidR="0096756C" w:rsidRPr="0096756C" w:rsidRDefault="0096756C" w:rsidP="0096756C">
                      <w:pPr>
                        <w:spacing w:after="0" w:line="240" w:lineRule="auto"/>
                        <w:ind w:left="357"/>
                        <w:rPr>
                          <w:rStyle w:val="Strong"/>
                          <w:rFonts w:asciiTheme="minorHAnsi" w:hAnsiTheme="minorHAnsi" w:cstheme="minorHAnsi"/>
                          <w:sz w:val="56"/>
                          <w:szCs w:val="72"/>
                        </w:rPr>
                      </w:pPr>
                      <w:r w:rsidRPr="0096756C">
                        <w:rPr>
                          <w:rStyle w:val="Strong"/>
                          <w:rFonts w:asciiTheme="minorHAnsi" w:hAnsiTheme="minorHAnsi" w:cstheme="minorHAnsi"/>
                          <w:sz w:val="56"/>
                          <w:szCs w:val="72"/>
                        </w:rPr>
                        <w:t>(4) Eligibility criteria for ordinary members</w:t>
                      </w:r>
                    </w:p>
                    <w:p w:rsidR="0096756C" w:rsidRDefault="0096756C" w:rsidP="0096756C">
                      <w:pPr>
                        <w:spacing w:after="0" w:line="240" w:lineRule="auto"/>
                        <w:rPr>
                          <w:rStyle w:val="Strong"/>
                          <w:rFonts w:asciiTheme="minorHAnsi" w:hAnsiTheme="minorHAnsi" w:cstheme="minorHAnsi"/>
                          <w:sz w:val="56"/>
                          <w:szCs w:val="72"/>
                        </w:rPr>
                      </w:pPr>
                    </w:p>
                    <w:p w:rsidR="0096756C" w:rsidRDefault="0096756C" w:rsidP="0096756C">
                      <w:pPr>
                        <w:spacing w:after="0" w:line="240" w:lineRule="auto"/>
                        <w:rPr>
                          <w:rStyle w:val="Strong"/>
                          <w:rFonts w:asciiTheme="minorHAnsi" w:hAnsiTheme="minorHAnsi" w:cstheme="minorHAnsi"/>
                          <w:sz w:val="56"/>
                          <w:szCs w:val="72"/>
                        </w:rPr>
                      </w:pPr>
                    </w:p>
                    <w:p w:rsidR="00B927FE" w:rsidRPr="0096756C" w:rsidRDefault="0096756C" w:rsidP="0096756C">
                      <w:pPr>
                        <w:spacing w:after="0" w:line="240" w:lineRule="auto"/>
                        <w:rPr>
                          <w:rStyle w:val="Strong"/>
                          <w:rFonts w:asciiTheme="minorHAnsi" w:hAnsiTheme="minorHAnsi" w:cstheme="minorHAnsi"/>
                          <w:sz w:val="56"/>
                          <w:szCs w:val="72"/>
                        </w:rPr>
                      </w:pPr>
                      <w:r>
                        <w:rPr>
                          <w:rStyle w:val="Strong"/>
                          <w:rFonts w:asciiTheme="minorHAnsi" w:hAnsiTheme="minorHAnsi" w:cstheme="minorHAnsi"/>
                          <w:sz w:val="56"/>
                          <w:szCs w:val="72"/>
                        </w:rPr>
                        <w:t>Analysis of Responses</w:t>
                      </w:r>
                    </w:p>
                    <w:p w:rsidR="00677F21" w:rsidRDefault="00677F21" w:rsidP="00862BA9">
                      <w:pPr>
                        <w:spacing w:after="0" w:line="240" w:lineRule="auto"/>
                        <w:ind w:left="357"/>
                        <w:rPr>
                          <w:rStyle w:val="Strong"/>
                          <w:rFonts w:asciiTheme="minorHAnsi" w:hAnsiTheme="minorHAnsi" w:cstheme="minorHAnsi"/>
                          <w:sz w:val="72"/>
                          <w:szCs w:val="72"/>
                        </w:rPr>
                      </w:pPr>
                    </w:p>
                    <w:p w:rsidR="00677F21" w:rsidRPr="00862BA9" w:rsidRDefault="00677F21" w:rsidP="00862BA9">
                      <w:pPr>
                        <w:spacing w:after="0" w:line="240" w:lineRule="auto"/>
                        <w:ind w:left="357"/>
                        <w:rPr>
                          <w:rStyle w:val="Strong"/>
                          <w:rFonts w:asciiTheme="minorHAnsi" w:hAnsiTheme="minorHAnsi" w:cstheme="minorHAnsi"/>
                          <w:sz w:val="72"/>
                          <w:szCs w:val="72"/>
                        </w:rPr>
                      </w:pPr>
                    </w:p>
                    <w:p w:rsidR="007B013A" w:rsidRDefault="007B013A"/>
                  </w:txbxContent>
                </v:textbox>
                <w10:wrap anchorx="margin"/>
              </v:shape>
            </w:pict>
          </mc:Fallback>
        </mc:AlternateContent>
      </w: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B927FE">
      <w:pPr>
        <w:spacing w:line="240" w:lineRule="auto"/>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B927FE" w:rsidRDefault="00B927FE" w:rsidP="000E22F6">
      <w:pPr>
        <w:spacing w:line="240" w:lineRule="auto"/>
        <w:ind w:left="360"/>
        <w:rPr>
          <w:rStyle w:val="Strong"/>
          <w:rFonts w:cs="Arial"/>
          <w:szCs w:val="24"/>
        </w:rPr>
      </w:pPr>
    </w:p>
    <w:p w:rsidR="000E22F6" w:rsidRDefault="000E22F6" w:rsidP="000E22F6">
      <w:pPr>
        <w:spacing w:line="240" w:lineRule="auto"/>
        <w:ind w:left="360"/>
        <w:rPr>
          <w:rStyle w:val="Strong"/>
          <w:rFonts w:cs="Arial"/>
          <w:szCs w:val="24"/>
        </w:rPr>
      </w:pPr>
      <w:r>
        <w:rPr>
          <w:rFonts w:cs="Arial"/>
          <w:b/>
          <w:bCs/>
          <w:noProof/>
          <w:szCs w:val="24"/>
          <w:lang w:eastAsia="en-GB"/>
        </w:rPr>
        <mc:AlternateContent>
          <mc:Choice Requires="wps">
            <w:drawing>
              <wp:anchor distT="0" distB="0" distL="114300" distR="114300" simplePos="0" relativeHeight="251660288" behindDoc="0" locked="0" layoutInCell="1" allowOverlap="1" wp14:anchorId="0B8A37F5" wp14:editId="5091718B">
                <wp:simplePos x="0" y="0"/>
                <wp:positionH relativeFrom="column">
                  <wp:posOffset>4762500</wp:posOffset>
                </wp:positionH>
                <wp:positionV relativeFrom="paragraph">
                  <wp:posOffset>105410</wp:posOffset>
                </wp:positionV>
                <wp:extent cx="1485900" cy="1524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485900" cy="152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B013A" w:rsidRDefault="007B013A">
                            <w:r>
                              <w:rPr>
                                <w:rFonts w:cs="Arial"/>
                                <w:b/>
                                <w:bCs/>
                                <w:noProof/>
                                <w:szCs w:val="24"/>
                                <w:lang w:eastAsia="en-GB"/>
                              </w:rPr>
                              <w:drawing>
                                <wp:inline distT="0" distB="0" distL="0" distR="0" wp14:anchorId="2CBCBEBE" wp14:editId="5FEE557D">
                                  <wp:extent cx="1193698" cy="12954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ttish%20government%20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6684" cy="129864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375pt;margin-top:8.3pt;width:117pt;height:1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" filled="f" stroked="f" strokeweight=".5pt">
                <v:textbox>
                  <w:txbxContent>
                    <w:p w:rsidR="007B013A" w:rsidRDefault="007B013A">
                      <w:r>
                        <w:rPr>
                          <w:rFonts w:cs="Arial"/>
                          <w:b/>
                          <w:bCs/>
                          <w:noProof/>
                          <w:szCs w:val="24"/>
                          <w:lang w:eastAsia="en-GB"/>
                        </w:rPr>
                        <w:drawing>
                          <wp:inline distT="0" distB="0" distL="0" distR="0" wp14:anchorId="0B0B8094" wp14:editId="53505254">
                            <wp:extent cx="1193698" cy="12954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ttish%20government%20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6684" cy="1298641"/>
                                    </a:xfrm>
                                    <a:prstGeom prst="rect">
                                      <a:avLst/>
                                    </a:prstGeom>
                                  </pic:spPr>
                                </pic:pic>
                              </a:graphicData>
                            </a:graphic>
                          </wp:inline>
                        </w:drawing>
                      </w:r>
                    </w:p>
                  </w:txbxContent>
                </v:textbox>
              </v:shape>
            </w:pict>
          </mc:Fallback>
        </mc:AlternateContent>
      </w:r>
    </w:p>
    <w:p w:rsidR="000E22F6" w:rsidRDefault="000E22F6" w:rsidP="000E22F6">
      <w:pPr>
        <w:spacing w:line="240" w:lineRule="auto"/>
        <w:ind w:left="360"/>
        <w:rPr>
          <w:rStyle w:val="Strong"/>
          <w:rFonts w:cs="Arial"/>
          <w:szCs w:val="24"/>
        </w:rPr>
      </w:pPr>
    </w:p>
    <w:p w:rsidR="000E22F6" w:rsidRDefault="000E22F6" w:rsidP="000E22F6">
      <w:pPr>
        <w:spacing w:line="240" w:lineRule="auto"/>
        <w:ind w:left="360"/>
        <w:rPr>
          <w:rFonts w:cs="Arial"/>
          <w:b/>
          <w:bCs/>
          <w:noProof/>
          <w:szCs w:val="24"/>
          <w:lang w:eastAsia="en-GB"/>
        </w:rPr>
      </w:pPr>
    </w:p>
    <w:p w:rsidR="0033362A" w:rsidRDefault="00677F21" w:rsidP="000E22F6">
      <w:pPr>
        <w:spacing w:line="240" w:lineRule="auto"/>
        <w:ind w:left="360"/>
        <w:rPr>
          <w:rStyle w:val="Strong"/>
          <w:rFonts w:cs="Arial"/>
          <w:szCs w:val="24"/>
        </w:rPr>
      </w:pPr>
      <w:r w:rsidRPr="00677F21">
        <w:rPr>
          <w:rFonts w:cs="Arial"/>
          <w:b/>
          <w:bCs/>
          <w:noProof/>
          <w:szCs w:val="24"/>
          <w:lang w:eastAsia="en-GB"/>
        </w:rPr>
        <mc:AlternateContent>
          <mc:Choice Requires="wps">
            <w:drawing>
              <wp:anchor distT="0" distB="0" distL="114300" distR="114300" simplePos="0" relativeHeight="251671552" behindDoc="0" locked="0" layoutInCell="1" allowOverlap="1" wp14:anchorId="76BDBC88" wp14:editId="67F6A1D8">
                <wp:simplePos x="0" y="0"/>
                <wp:positionH relativeFrom="column">
                  <wp:posOffset>-585470</wp:posOffset>
                </wp:positionH>
                <wp:positionV relativeFrom="paragraph">
                  <wp:posOffset>24765</wp:posOffset>
                </wp:positionV>
                <wp:extent cx="2374265" cy="140398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677F21" w:rsidRDefault="0096756C">
                            <w:r>
                              <w:t>November</w:t>
                            </w:r>
                            <w:r w:rsidR="00DF2ACF">
                              <w:t xml:space="preserve"> 2017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8" type="#_x0000_t202" style="position:absolute;left:0;text-align:left;margin-left:-46.1pt;margin-top:1.95pt;width:186.95pt;height:110.55pt;z-index:2516715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" stroked="f">
                <v:textbox style="mso-fit-shape-to-text:t">
                  <w:txbxContent>
                    <w:p w:rsidR="00677F21" w:rsidRDefault="0096756C">
                      <w:r>
                        <w:t>November</w:t>
                      </w:r>
                      <w:r w:rsidR="00DF2ACF">
                        <w:t xml:space="preserve"> 2017</w:t>
                      </w:r>
                    </w:p>
                  </w:txbxContent>
                </v:textbox>
              </v:shape>
            </w:pict>
          </mc:Fallback>
        </mc:AlternateContent>
      </w:r>
    </w:p>
    <w:p w:rsidR="0033362A" w:rsidRDefault="0033362A" w:rsidP="0033362A">
      <w:pPr>
        <w:rPr>
          <w:rStyle w:val="Strong"/>
          <w:rFonts w:cs="Arial"/>
          <w:szCs w:val="24"/>
        </w:rPr>
      </w:pPr>
      <w:r>
        <w:rPr>
          <w:rStyle w:val="Strong"/>
          <w:rFonts w:cs="Arial"/>
          <w:szCs w:val="24"/>
        </w:rPr>
        <w:br w:type="page"/>
      </w:r>
    </w:p>
    <w:p w:rsidR="00326BBC" w:rsidRDefault="00326BBC" w:rsidP="00326BBC">
      <w:pPr>
        <w:spacing w:after="200"/>
        <w:rPr>
          <w:rStyle w:val="Strong"/>
          <w:rFonts w:cs="Arial"/>
          <w:szCs w:val="24"/>
        </w:rPr>
      </w:pPr>
      <w:r>
        <w:rPr>
          <w:rStyle w:val="Strong"/>
          <w:rFonts w:cs="Arial"/>
          <w:szCs w:val="24"/>
        </w:rPr>
        <w:lastRenderedPageBreak/>
        <w:tab/>
      </w:r>
      <w:r>
        <w:rPr>
          <w:rStyle w:val="Strong"/>
          <w:rFonts w:cs="Arial"/>
          <w:szCs w:val="24"/>
        </w:rPr>
        <w:tab/>
      </w:r>
      <w:r>
        <w:rPr>
          <w:rStyle w:val="Strong"/>
          <w:rFonts w:cs="Arial"/>
          <w:szCs w:val="24"/>
        </w:rPr>
        <w:tab/>
      </w:r>
      <w:r>
        <w:rPr>
          <w:rStyle w:val="Strong"/>
          <w:rFonts w:cs="Arial"/>
          <w:szCs w:val="24"/>
        </w:rPr>
        <w:tab/>
      </w:r>
      <w:r w:rsidR="00B1191D">
        <w:rPr>
          <w:rStyle w:val="Strong"/>
          <w:rFonts w:cs="Arial"/>
          <w:szCs w:val="24"/>
        </w:rPr>
        <w:t>Table of Contents</w:t>
      </w:r>
    </w:p>
    <w:p w:rsidR="00B1191D" w:rsidRDefault="00B1191D" w:rsidP="00326BBC">
      <w:pPr>
        <w:spacing w:after="200"/>
        <w:rPr>
          <w:rStyle w:val="Strong"/>
          <w:rFonts w:cs="Arial"/>
          <w:szCs w:val="24"/>
        </w:rPr>
      </w:pPr>
    </w:p>
    <w:p w:rsidR="00326BBC" w:rsidRDefault="00326BBC" w:rsidP="00326BBC">
      <w:pPr>
        <w:spacing w:after="200"/>
        <w:rPr>
          <w:rStyle w:val="Strong"/>
          <w:rFonts w:cs="Arial"/>
          <w:b w:val="0"/>
          <w:szCs w:val="24"/>
        </w:rPr>
      </w:pPr>
    </w:p>
    <w:p w:rsidR="00B1191D" w:rsidRDefault="00B1191D" w:rsidP="00326BBC">
      <w:pPr>
        <w:spacing w:after="200"/>
        <w:rPr>
          <w:rStyle w:val="Strong"/>
          <w:rFonts w:cs="Arial"/>
          <w:b w:val="0"/>
          <w:szCs w:val="24"/>
        </w:rPr>
      </w:pPr>
    </w:p>
    <w:p w:rsidR="00B1191D" w:rsidRDefault="00B1191D" w:rsidP="00326BBC">
      <w:pPr>
        <w:spacing w:after="200"/>
        <w:rPr>
          <w:rStyle w:val="Strong"/>
          <w:rFonts w:cs="Arial"/>
          <w:b w:val="0"/>
          <w:szCs w:val="24"/>
        </w:rPr>
      </w:pPr>
    </w:p>
    <w:p w:rsidR="00B1191D" w:rsidRPr="00326BBC" w:rsidRDefault="00B1191D" w:rsidP="00326BBC">
      <w:pPr>
        <w:spacing w:after="200"/>
        <w:rPr>
          <w:rStyle w:val="Strong"/>
          <w:rFonts w:cs="Arial"/>
          <w:b w:val="0"/>
          <w:szCs w:val="24"/>
        </w:rPr>
      </w:pPr>
    </w:p>
    <w:p w:rsidR="00326BBC" w:rsidRDefault="00B1191D">
      <w:pPr>
        <w:spacing w:after="200"/>
        <w:rPr>
          <w:rStyle w:val="Strong"/>
          <w:rFonts w:cs="Arial"/>
          <w:b w:val="0"/>
          <w:szCs w:val="24"/>
        </w:rPr>
      </w:pPr>
      <w:r>
        <w:rPr>
          <w:rStyle w:val="Strong"/>
          <w:rFonts w:cs="Arial"/>
          <w:szCs w:val="24"/>
        </w:rPr>
        <w:tab/>
      </w:r>
      <w:r>
        <w:rPr>
          <w:rStyle w:val="Strong"/>
          <w:rFonts w:cs="Arial"/>
          <w:szCs w:val="24"/>
        </w:rPr>
        <w:tab/>
      </w:r>
      <w:r>
        <w:rPr>
          <w:rStyle w:val="Strong"/>
          <w:rFonts w:cs="Arial"/>
          <w:szCs w:val="24"/>
        </w:rPr>
        <w:tab/>
      </w:r>
      <w:r>
        <w:rPr>
          <w:rStyle w:val="Strong"/>
          <w:rFonts w:cs="Arial"/>
          <w:b w:val="0"/>
          <w:szCs w:val="24"/>
        </w:rPr>
        <w:t>Background</w:t>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t xml:space="preserve">page </w:t>
      </w:r>
      <w:r w:rsidR="008C536F">
        <w:rPr>
          <w:rStyle w:val="Strong"/>
          <w:rFonts w:cs="Arial"/>
          <w:b w:val="0"/>
          <w:szCs w:val="24"/>
        </w:rPr>
        <w:t>3</w:t>
      </w:r>
    </w:p>
    <w:p w:rsidR="00B1191D" w:rsidRDefault="00B1191D">
      <w:pPr>
        <w:spacing w:after="200"/>
        <w:rPr>
          <w:rStyle w:val="Strong"/>
          <w:rFonts w:cs="Arial"/>
          <w:b w:val="0"/>
          <w:szCs w:val="24"/>
        </w:rPr>
      </w:pPr>
      <w:r>
        <w:rPr>
          <w:rStyle w:val="Strong"/>
          <w:rFonts w:cs="Arial"/>
          <w:b w:val="0"/>
          <w:szCs w:val="24"/>
        </w:rPr>
        <w:tab/>
      </w:r>
      <w:r>
        <w:rPr>
          <w:rStyle w:val="Strong"/>
          <w:rFonts w:cs="Arial"/>
          <w:b w:val="0"/>
          <w:szCs w:val="24"/>
        </w:rPr>
        <w:tab/>
      </w:r>
      <w:r>
        <w:rPr>
          <w:rStyle w:val="Strong"/>
          <w:rFonts w:cs="Arial"/>
          <w:b w:val="0"/>
          <w:szCs w:val="24"/>
        </w:rPr>
        <w:tab/>
        <w:t>C</w:t>
      </w:r>
      <w:r w:rsidR="00CD3D32">
        <w:rPr>
          <w:rStyle w:val="Strong"/>
          <w:rFonts w:cs="Arial"/>
          <w:b w:val="0"/>
          <w:szCs w:val="24"/>
        </w:rPr>
        <w:t>onsultation r</w:t>
      </w:r>
      <w:r w:rsidR="00432371">
        <w:rPr>
          <w:rStyle w:val="Strong"/>
          <w:rFonts w:cs="Arial"/>
          <w:b w:val="0"/>
          <w:szCs w:val="24"/>
        </w:rPr>
        <w:t>esponses</w:t>
      </w:r>
      <w:r w:rsidR="00432371">
        <w:rPr>
          <w:rStyle w:val="Strong"/>
          <w:rFonts w:cs="Arial"/>
          <w:b w:val="0"/>
          <w:szCs w:val="24"/>
        </w:rPr>
        <w:tab/>
      </w:r>
      <w:r w:rsidR="00432371">
        <w:rPr>
          <w:rStyle w:val="Strong"/>
          <w:rFonts w:cs="Arial"/>
          <w:b w:val="0"/>
          <w:szCs w:val="24"/>
        </w:rPr>
        <w:tab/>
      </w:r>
      <w:r w:rsidR="00432371">
        <w:rPr>
          <w:rStyle w:val="Strong"/>
          <w:rFonts w:cs="Arial"/>
          <w:b w:val="0"/>
          <w:szCs w:val="24"/>
        </w:rPr>
        <w:tab/>
      </w:r>
      <w:r w:rsidR="00432371">
        <w:rPr>
          <w:rStyle w:val="Strong"/>
          <w:rFonts w:cs="Arial"/>
          <w:b w:val="0"/>
          <w:szCs w:val="24"/>
        </w:rPr>
        <w:tab/>
      </w:r>
      <w:r w:rsidR="00432371">
        <w:rPr>
          <w:rStyle w:val="Strong"/>
          <w:rFonts w:cs="Arial"/>
          <w:b w:val="0"/>
          <w:szCs w:val="24"/>
        </w:rPr>
        <w:tab/>
        <w:t>page 4</w:t>
      </w:r>
    </w:p>
    <w:p w:rsidR="00B1191D" w:rsidRDefault="00B1191D">
      <w:pPr>
        <w:spacing w:after="200"/>
        <w:rPr>
          <w:rStyle w:val="Strong"/>
          <w:rFonts w:cs="Arial"/>
          <w:b w:val="0"/>
          <w:szCs w:val="24"/>
        </w:rPr>
      </w:pPr>
      <w:r>
        <w:rPr>
          <w:rStyle w:val="Strong"/>
          <w:rFonts w:cs="Arial"/>
          <w:b w:val="0"/>
          <w:szCs w:val="24"/>
        </w:rPr>
        <w:tab/>
      </w:r>
      <w:r>
        <w:rPr>
          <w:rStyle w:val="Strong"/>
          <w:rFonts w:cs="Arial"/>
          <w:b w:val="0"/>
          <w:szCs w:val="24"/>
        </w:rPr>
        <w:tab/>
      </w:r>
      <w:r>
        <w:rPr>
          <w:rStyle w:val="Strong"/>
          <w:rFonts w:cs="Arial"/>
          <w:b w:val="0"/>
          <w:szCs w:val="24"/>
        </w:rPr>
        <w:tab/>
      </w:r>
      <w:r w:rsidR="00432371">
        <w:rPr>
          <w:rStyle w:val="Strong"/>
          <w:rFonts w:cs="Arial"/>
          <w:b w:val="0"/>
          <w:szCs w:val="24"/>
        </w:rPr>
        <w:t>Analysis of responses</w:t>
      </w:r>
      <w:r w:rsidR="00432371">
        <w:rPr>
          <w:rStyle w:val="Strong"/>
          <w:rFonts w:cs="Arial"/>
          <w:b w:val="0"/>
          <w:szCs w:val="24"/>
        </w:rPr>
        <w:tab/>
      </w:r>
      <w:r w:rsidR="00432371">
        <w:rPr>
          <w:rStyle w:val="Strong"/>
          <w:rFonts w:cs="Arial"/>
          <w:b w:val="0"/>
          <w:szCs w:val="24"/>
        </w:rPr>
        <w:tab/>
      </w:r>
      <w:r w:rsidR="00432371">
        <w:rPr>
          <w:rStyle w:val="Strong"/>
          <w:rFonts w:cs="Arial"/>
          <w:b w:val="0"/>
          <w:szCs w:val="24"/>
        </w:rPr>
        <w:tab/>
      </w:r>
      <w:r w:rsidR="00432371">
        <w:rPr>
          <w:rStyle w:val="Strong"/>
          <w:rFonts w:cs="Arial"/>
          <w:b w:val="0"/>
          <w:szCs w:val="24"/>
        </w:rPr>
        <w:tab/>
      </w:r>
      <w:r w:rsidR="00432371">
        <w:rPr>
          <w:rStyle w:val="Strong"/>
          <w:rFonts w:cs="Arial"/>
          <w:b w:val="0"/>
          <w:szCs w:val="24"/>
        </w:rPr>
        <w:tab/>
        <w:t>page 4</w:t>
      </w:r>
    </w:p>
    <w:p w:rsidR="00B1191D" w:rsidRDefault="00CD3D32">
      <w:pPr>
        <w:spacing w:after="200"/>
        <w:rPr>
          <w:rStyle w:val="Strong"/>
          <w:rFonts w:cs="Arial"/>
          <w:b w:val="0"/>
          <w:szCs w:val="24"/>
        </w:rPr>
      </w:pPr>
      <w:r>
        <w:rPr>
          <w:rStyle w:val="Strong"/>
          <w:rFonts w:cs="Arial"/>
          <w:b w:val="0"/>
          <w:szCs w:val="24"/>
        </w:rPr>
        <w:tab/>
      </w:r>
      <w:r>
        <w:rPr>
          <w:rStyle w:val="Strong"/>
          <w:rFonts w:cs="Arial"/>
          <w:b w:val="0"/>
          <w:szCs w:val="24"/>
        </w:rPr>
        <w:tab/>
      </w:r>
      <w:r>
        <w:rPr>
          <w:rStyle w:val="Strong"/>
          <w:rFonts w:cs="Arial"/>
          <w:b w:val="0"/>
          <w:szCs w:val="24"/>
        </w:rPr>
        <w:tab/>
        <w:t>Next s</w:t>
      </w:r>
      <w:r w:rsidR="00B1191D">
        <w:rPr>
          <w:rStyle w:val="Strong"/>
          <w:rFonts w:cs="Arial"/>
          <w:b w:val="0"/>
          <w:szCs w:val="24"/>
        </w:rPr>
        <w:t>teps</w:t>
      </w:r>
      <w:r w:rsidR="00B1191D">
        <w:rPr>
          <w:rStyle w:val="Strong"/>
          <w:rFonts w:cs="Arial"/>
          <w:b w:val="0"/>
          <w:szCs w:val="24"/>
        </w:rPr>
        <w:tab/>
      </w:r>
      <w:r w:rsidR="00B1191D">
        <w:rPr>
          <w:rStyle w:val="Strong"/>
          <w:rFonts w:cs="Arial"/>
          <w:b w:val="0"/>
          <w:szCs w:val="24"/>
        </w:rPr>
        <w:tab/>
      </w:r>
      <w:r w:rsidR="00B1191D">
        <w:rPr>
          <w:rStyle w:val="Strong"/>
          <w:rFonts w:cs="Arial"/>
          <w:b w:val="0"/>
          <w:szCs w:val="24"/>
        </w:rPr>
        <w:tab/>
      </w:r>
      <w:r w:rsidR="00B1191D">
        <w:rPr>
          <w:rStyle w:val="Strong"/>
          <w:rFonts w:cs="Arial"/>
          <w:b w:val="0"/>
          <w:szCs w:val="24"/>
        </w:rPr>
        <w:tab/>
      </w:r>
      <w:r w:rsidR="00B1191D">
        <w:rPr>
          <w:rStyle w:val="Strong"/>
          <w:rFonts w:cs="Arial"/>
          <w:b w:val="0"/>
          <w:szCs w:val="24"/>
        </w:rPr>
        <w:tab/>
      </w:r>
      <w:r w:rsidR="00B1191D">
        <w:rPr>
          <w:rStyle w:val="Strong"/>
          <w:rFonts w:cs="Arial"/>
          <w:b w:val="0"/>
          <w:szCs w:val="24"/>
        </w:rPr>
        <w:tab/>
      </w:r>
      <w:r w:rsidR="00B1191D">
        <w:rPr>
          <w:rStyle w:val="Strong"/>
          <w:rFonts w:cs="Arial"/>
          <w:b w:val="0"/>
          <w:szCs w:val="24"/>
        </w:rPr>
        <w:tab/>
      </w:r>
      <w:r w:rsidR="00432371">
        <w:rPr>
          <w:rStyle w:val="Strong"/>
          <w:rFonts w:cs="Arial"/>
          <w:b w:val="0"/>
          <w:szCs w:val="24"/>
        </w:rPr>
        <w:t>page 4</w:t>
      </w:r>
    </w:p>
    <w:p w:rsidR="00432371" w:rsidRDefault="00432371">
      <w:pPr>
        <w:spacing w:after="200"/>
        <w:rPr>
          <w:rStyle w:val="Strong"/>
          <w:rFonts w:cs="Arial"/>
          <w:b w:val="0"/>
          <w:szCs w:val="24"/>
        </w:rPr>
      </w:pPr>
      <w:r>
        <w:rPr>
          <w:rStyle w:val="Strong"/>
          <w:rFonts w:cs="Arial"/>
          <w:b w:val="0"/>
          <w:szCs w:val="24"/>
        </w:rPr>
        <w:tab/>
      </w:r>
      <w:r>
        <w:rPr>
          <w:rStyle w:val="Strong"/>
          <w:rFonts w:cs="Arial"/>
          <w:b w:val="0"/>
          <w:szCs w:val="24"/>
        </w:rPr>
        <w:tab/>
      </w:r>
      <w:r>
        <w:rPr>
          <w:rStyle w:val="Strong"/>
          <w:rFonts w:cs="Arial"/>
          <w:b w:val="0"/>
          <w:szCs w:val="24"/>
        </w:rPr>
        <w:tab/>
        <w:t>Annex A: Consultation responses</w:t>
      </w:r>
      <w:r>
        <w:rPr>
          <w:rStyle w:val="Strong"/>
          <w:rFonts w:cs="Arial"/>
          <w:b w:val="0"/>
          <w:szCs w:val="24"/>
        </w:rPr>
        <w:tab/>
      </w:r>
      <w:r>
        <w:rPr>
          <w:rStyle w:val="Strong"/>
          <w:rFonts w:cs="Arial"/>
          <w:b w:val="0"/>
          <w:szCs w:val="24"/>
        </w:rPr>
        <w:tab/>
      </w:r>
      <w:r>
        <w:rPr>
          <w:rStyle w:val="Strong"/>
          <w:rFonts w:cs="Arial"/>
          <w:b w:val="0"/>
          <w:szCs w:val="24"/>
        </w:rPr>
        <w:tab/>
      </w:r>
      <w:r>
        <w:rPr>
          <w:rStyle w:val="Strong"/>
          <w:rFonts w:cs="Arial"/>
          <w:b w:val="0"/>
          <w:szCs w:val="24"/>
        </w:rPr>
        <w:tab/>
        <w:t>page 5</w:t>
      </w:r>
    </w:p>
    <w:p w:rsidR="00326BBC" w:rsidRDefault="00326BBC">
      <w:pPr>
        <w:spacing w:after="200"/>
        <w:rPr>
          <w:rStyle w:val="Strong"/>
          <w:rFonts w:cs="Arial"/>
          <w:szCs w:val="24"/>
        </w:rPr>
      </w:pPr>
    </w:p>
    <w:p w:rsidR="00326BBC" w:rsidRDefault="00326BBC" w:rsidP="00326BBC">
      <w:pPr>
        <w:spacing w:after="200"/>
        <w:rPr>
          <w:rStyle w:val="Strong"/>
          <w:rFonts w:cs="Arial"/>
          <w:szCs w:val="24"/>
        </w:rPr>
      </w:pPr>
      <w:r>
        <w:rPr>
          <w:rStyle w:val="Strong"/>
          <w:rFonts w:cs="Arial"/>
          <w:szCs w:val="24"/>
        </w:rPr>
        <w:br w:type="page"/>
      </w:r>
    </w:p>
    <w:p w:rsidR="005B7496" w:rsidRDefault="00677F21" w:rsidP="00326BBC">
      <w:pPr>
        <w:spacing w:after="200"/>
        <w:rPr>
          <w:rFonts w:cs="Arial"/>
          <w:b/>
          <w:szCs w:val="24"/>
        </w:rPr>
      </w:pPr>
      <w:r>
        <w:rPr>
          <w:rFonts w:cs="Arial"/>
          <w:b/>
          <w:szCs w:val="24"/>
        </w:rPr>
        <w:lastRenderedPageBreak/>
        <w:t xml:space="preserve">ANALYSIS OF RESPONSES TO THE CONSULTATION ON DRAFT REGULATIONS </w:t>
      </w:r>
      <w:r w:rsidR="00300574">
        <w:rPr>
          <w:rFonts w:cs="Arial"/>
          <w:b/>
          <w:szCs w:val="24"/>
        </w:rPr>
        <w:t>FOR</w:t>
      </w:r>
      <w:r w:rsidR="005B7496">
        <w:rPr>
          <w:rFonts w:cs="Arial"/>
          <w:b/>
          <w:szCs w:val="24"/>
        </w:rPr>
        <w:t>:</w:t>
      </w:r>
    </w:p>
    <w:p w:rsidR="00DF2ACF" w:rsidRDefault="00300574" w:rsidP="005B7496">
      <w:pPr>
        <w:pStyle w:val="ListParagraph"/>
        <w:numPr>
          <w:ilvl w:val="0"/>
          <w:numId w:val="15"/>
        </w:numPr>
        <w:rPr>
          <w:rFonts w:ascii="Arial" w:hAnsi="Arial" w:cs="Arial"/>
          <w:b/>
          <w:sz w:val="24"/>
          <w:szCs w:val="24"/>
        </w:rPr>
      </w:pPr>
      <w:r>
        <w:rPr>
          <w:rFonts w:ascii="Arial" w:hAnsi="Arial" w:cs="Arial"/>
          <w:b/>
          <w:sz w:val="24"/>
          <w:szCs w:val="24"/>
        </w:rPr>
        <w:t xml:space="preserve">THE TRANSFER OF FUNCTIONS AND MEMBERS OF </w:t>
      </w:r>
      <w:r w:rsidR="0096756C">
        <w:rPr>
          <w:rFonts w:ascii="Arial" w:hAnsi="Arial" w:cs="Arial"/>
          <w:b/>
          <w:sz w:val="24"/>
          <w:szCs w:val="24"/>
        </w:rPr>
        <w:t xml:space="preserve">THE ADDITIONAL SUPPORT NEEDS TRIBUNALS FOR SCOTLAND </w:t>
      </w:r>
      <w:r w:rsidR="00DF2ACF">
        <w:rPr>
          <w:rFonts w:ascii="Arial" w:hAnsi="Arial" w:cs="Arial"/>
          <w:b/>
          <w:sz w:val="24"/>
          <w:szCs w:val="24"/>
        </w:rPr>
        <w:t>TO THE SCOTTISH TRIBUNALS</w:t>
      </w:r>
      <w:r>
        <w:rPr>
          <w:rFonts w:ascii="Arial" w:hAnsi="Arial" w:cs="Arial"/>
          <w:b/>
          <w:sz w:val="24"/>
          <w:szCs w:val="24"/>
        </w:rPr>
        <w:t>,</w:t>
      </w:r>
      <w:r w:rsidR="00DF2ACF">
        <w:rPr>
          <w:rFonts w:ascii="Arial" w:hAnsi="Arial" w:cs="Arial"/>
          <w:b/>
          <w:sz w:val="24"/>
          <w:szCs w:val="24"/>
        </w:rPr>
        <w:t xml:space="preserve"> </w:t>
      </w:r>
    </w:p>
    <w:p w:rsidR="00023091" w:rsidRPr="005B7496" w:rsidRDefault="00DF2ACF" w:rsidP="005B7496">
      <w:pPr>
        <w:pStyle w:val="ListParagraph"/>
        <w:numPr>
          <w:ilvl w:val="0"/>
          <w:numId w:val="15"/>
        </w:numPr>
        <w:rPr>
          <w:rFonts w:ascii="Arial" w:hAnsi="Arial" w:cs="Arial"/>
          <w:b/>
          <w:sz w:val="24"/>
          <w:szCs w:val="24"/>
        </w:rPr>
      </w:pPr>
      <w:r>
        <w:rPr>
          <w:rFonts w:ascii="Arial" w:hAnsi="Arial" w:cs="Arial"/>
          <w:b/>
          <w:sz w:val="24"/>
          <w:szCs w:val="24"/>
        </w:rPr>
        <w:t xml:space="preserve">THE RULES OF PROCEDURE FOR THE FIRST-TIER TRIBUNAL FOR SCOTLAND </w:t>
      </w:r>
      <w:r w:rsidR="0096756C">
        <w:rPr>
          <w:rFonts w:ascii="Arial" w:hAnsi="Arial" w:cs="Arial"/>
          <w:b/>
          <w:sz w:val="24"/>
          <w:szCs w:val="24"/>
        </w:rPr>
        <w:t>HEALTH AND EDUCATION CHAMBER</w:t>
      </w:r>
    </w:p>
    <w:p w:rsidR="00DF2ACF" w:rsidRDefault="00300574" w:rsidP="003B00FF">
      <w:pPr>
        <w:pStyle w:val="ListParagraph"/>
        <w:numPr>
          <w:ilvl w:val="0"/>
          <w:numId w:val="15"/>
        </w:numPr>
        <w:rPr>
          <w:rFonts w:ascii="Arial" w:hAnsi="Arial" w:cs="Arial"/>
          <w:b/>
          <w:bCs/>
          <w:sz w:val="24"/>
          <w:szCs w:val="24"/>
        </w:rPr>
      </w:pPr>
      <w:r>
        <w:rPr>
          <w:rFonts w:ascii="Arial" w:hAnsi="Arial" w:cs="Arial"/>
          <w:b/>
          <w:bCs/>
          <w:sz w:val="24"/>
          <w:szCs w:val="24"/>
        </w:rPr>
        <w:t xml:space="preserve">THE COMPOSITION OF THE SCOTTISH TRIBUNALS WHEN HEARING </w:t>
      </w:r>
      <w:r w:rsidR="00B571D3">
        <w:rPr>
          <w:rFonts w:ascii="Arial" w:hAnsi="Arial" w:cs="Arial"/>
          <w:b/>
          <w:bCs/>
          <w:sz w:val="24"/>
          <w:szCs w:val="24"/>
        </w:rPr>
        <w:t xml:space="preserve">APPEALS AND REFERRALS IN AND FROM THE FIRST-TIER TRIBUNAL FOR SCOTLAND </w:t>
      </w:r>
      <w:r w:rsidR="0096756C">
        <w:rPr>
          <w:rFonts w:ascii="Arial" w:hAnsi="Arial" w:cs="Arial"/>
          <w:b/>
          <w:bCs/>
          <w:sz w:val="24"/>
          <w:szCs w:val="24"/>
        </w:rPr>
        <w:t>HEALTH AND EDUCATION CHAMBER</w:t>
      </w:r>
    </w:p>
    <w:p w:rsidR="0096756C" w:rsidRPr="003B00FF" w:rsidRDefault="0096756C" w:rsidP="003B00FF">
      <w:pPr>
        <w:pStyle w:val="ListParagraph"/>
        <w:numPr>
          <w:ilvl w:val="0"/>
          <w:numId w:val="15"/>
        </w:numPr>
        <w:rPr>
          <w:rFonts w:ascii="Arial" w:hAnsi="Arial" w:cs="Arial"/>
          <w:b/>
          <w:bCs/>
          <w:sz w:val="24"/>
          <w:szCs w:val="24"/>
        </w:rPr>
      </w:pPr>
      <w:r>
        <w:rPr>
          <w:rFonts w:ascii="Arial" w:hAnsi="Arial" w:cs="Arial"/>
          <w:b/>
          <w:bCs/>
          <w:sz w:val="24"/>
          <w:szCs w:val="24"/>
        </w:rPr>
        <w:t>ELIGIBILITY CRITERIA FOR ORDINARY MEMBERS OF THE FIRST-TIER TRIBUNAL WITH HEALTH AND EDUCATION EXPERIENCE</w:t>
      </w:r>
    </w:p>
    <w:p w:rsidR="00023091" w:rsidRPr="00454558" w:rsidRDefault="00023091" w:rsidP="00023091">
      <w:pPr>
        <w:rPr>
          <w:rFonts w:cs="Arial"/>
          <w:b/>
          <w:szCs w:val="24"/>
        </w:rPr>
      </w:pPr>
      <w:r w:rsidRPr="00454558">
        <w:rPr>
          <w:rFonts w:cs="Arial"/>
          <w:b/>
          <w:szCs w:val="24"/>
        </w:rPr>
        <w:t>Background</w:t>
      </w:r>
    </w:p>
    <w:p w:rsidR="00677F21" w:rsidRDefault="00677F21" w:rsidP="00677F21">
      <w:pPr>
        <w:pStyle w:val="ListParagraph"/>
        <w:numPr>
          <w:ilvl w:val="0"/>
          <w:numId w:val="12"/>
        </w:numPr>
        <w:rPr>
          <w:rFonts w:ascii="Arial" w:hAnsi="Arial" w:cs="Arial"/>
          <w:sz w:val="24"/>
          <w:szCs w:val="24"/>
        </w:rPr>
      </w:pPr>
      <w:r>
        <w:rPr>
          <w:rFonts w:ascii="Arial" w:hAnsi="Arial" w:cs="Arial"/>
          <w:sz w:val="24"/>
          <w:szCs w:val="24"/>
        </w:rPr>
        <w:t xml:space="preserve">The Scottish Government is in the process of implementing the Tribunals (Scotland) Act 2014 (the 2014 Act) which </w:t>
      </w:r>
      <w:r w:rsidR="00023091" w:rsidRPr="00677F21">
        <w:rPr>
          <w:rFonts w:ascii="Arial" w:hAnsi="Arial" w:cs="Arial"/>
          <w:sz w:val="24"/>
          <w:szCs w:val="24"/>
        </w:rPr>
        <w:t xml:space="preserve">creates a new, simplified statutory framework for tribunals in Scotland, bringing existing tribunal jurisdictions together and providing an organised structure for new jurisdictions. </w:t>
      </w:r>
    </w:p>
    <w:p w:rsidR="00677F21" w:rsidRDefault="00677F21" w:rsidP="00677F21">
      <w:pPr>
        <w:pStyle w:val="ListParagraph"/>
        <w:ind w:left="465"/>
        <w:rPr>
          <w:rFonts w:ascii="Arial" w:hAnsi="Arial" w:cs="Arial"/>
          <w:sz w:val="24"/>
          <w:szCs w:val="24"/>
        </w:rPr>
      </w:pPr>
    </w:p>
    <w:p w:rsidR="0096756C" w:rsidRDefault="00023091" w:rsidP="0096756C">
      <w:pPr>
        <w:pStyle w:val="ListParagraph"/>
        <w:numPr>
          <w:ilvl w:val="0"/>
          <w:numId w:val="12"/>
        </w:numPr>
        <w:rPr>
          <w:rFonts w:ascii="Arial" w:hAnsi="Arial" w:cs="Arial"/>
          <w:sz w:val="24"/>
          <w:szCs w:val="24"/>
        </w:rPr>
      </w:pPr>
      <w:r w:rsidRPr="00677F21">
        <w:rPr>
          <w:rFonts w:ascii="Arial" w:hAnsi="Arial" w:cs="Arial"/>
          <w:sz w:val="24"/>
          <w:szCs w:val="24"/>
        </w:rPr>
        <w:t xml:space="preserve">The </w:t>
      </w:r>
      <w:r w:rsidR="00677F21">
        <w:rPr>
          <w:rFonts w:ascii="Arial" w:hAnsi="Arial" w:cs="Arial"/>
          <w:sz w:val="24"/>
          <w:szCs w:val="24"/>
        </w:rPr>
        <w:t xml:space="preserve">2014 Act </w:t>
      </w:r>
      <w:r w:rsidRPr="00677F21">
        <w:rPr>
          <w:rFonts w:ascii="Arial" w:hAnsi="Arial" w:cs="Arial"/>
          <w:sz w:val="24"/>
          <w:szCs w:val="24"/>
        </w:rPr>
        <w:t>creates two tribunals, the First-tier Tribunal for Scotland</w:t>
      </w:r>
      <w:r w:rsidR="0056133A">
        <w:rPr>
          <w:rFonts w:ascii="Arial" w:hAnsi="Arial" w:cs="Arial"/>
          <w:sz w:val="24"/>
          <w:szCs w:val="24"/>
        </w:rPr>
        <w:t xml:space="preserve"> (First-tier Tribunal)</w:t>
      </w:r>
      <w:r w:rsidRPr="00677F21">
        <w:rPr>
          <w:rFonts w:ascii="Arial" w:hAnsi="Arial" w:cs="Arial"/>
          <w:sz w:val="24"/>
          <w:szCs w:val="24"/>
        </w:rPr>
        <w:t xml:space="preserve"> and the Upper Tribunal for Scotland</w:t>
      </w:r>
      <w:r w:rsidR="0056133A">
        <w:rPr>
          <w:rFonts w:ascii="Arial" w:hAnsi="Arial" w:cs="Arial"/>
          <w:sz w:val="24"/>
          <w:szCs w:val="24"/>
        </w:rPr>
        <w:t xml:space="preserve"> (Upper Tribunal)</w:t>
      </w:r>
      <w:r w:rsidRPr="00677F21">
        <w:rPr>
          <w:rFonts w:ascii="Arial" w:hAnsi="Arial" w:cs="Arial"/>
          <w:sz w:val="24"/>
          <w:szCs w:val="24"/>
        </w:rPr>
        <w:t>, known collectively as the Scottish Tribunals.</w:t>
      </w:r>
      <w:r w:rsidR="00677F21" w:rsidRPr="00677F21">
        <w:rPr>
          <w:rFonts w:ascii="Arial" w:hAnsi="Arial" w:cs="Arial"/>
          <w:sz w:val="24"/>
          <w:szCs w:val="24"/>
        </w:rPr>
        <w:t xml:space="preserve"> In due course all of the devolved tribunal jurisdictions will transfer</w:t>
      </w:r>
      <w:r w:rsidR="002E15A9">
        <w:rPr>
          <w:rFonts w:ascii="Arial" w:hAnsi="Arial" w:cs="Arial"/>
          <w:sz w:val="24"/>
          <w:szCs w:val="24"/>
        </w:rPr>
        <w:t>-</w:t>
      </w:r>
      <w:r w:rsidR="00677F21" w:rsidRPr="00677F21">
        <w:rPr>
          <w:rFonts w:ascii="Arial" w:hAnsi="Arial" w:cs="Arial"/>
          <w:sz w:val="24"/>
          <w:szCs w:val="24"/>
        </w:rPr>
        <w:t xml:space="preserve">in to the Scottish Tribunals. </w:t>
      </w:r>
      <w:r w:rsidR="00DF2ACF">
        <w:rPr>
          <w:rFonts w:ascii="Arial" w:hAnsi="Arial" w:cs="Arial"/>
          <w:sz w:val="24"/>
          <w:szCs w:val="24"/>
        </w:rPr>
        <w:t xml:space="preserve">The first tribunals </w:t>
      </w:r>
      <w:r w:rsidR="000F6C5E">
        <w:rPr>
          <w:rFonts w:ascii="Arial" w:hAnsi="Arial" w:cs="Arial"/>
          <w:sz w:val="24"/>
          <w:szCs w:val="24"/>
        </w:rPr>
        <w:t xml:space="preserve">(the private rented housing panel, the homeowner housing panel and their respective committees) </w:t>
      </w:r>
      <w:r w:rsidR="00DF2ACF">
        <w:rPr>
          <w:rFonts w:ascii="Arial" w:hAnsi="Arial" w:cs="Arial"/>
          <w:sz w:val="24"/>
          <w:szCs w:val="24"/>
        </w:rPr>
        <w:t xml:space="preserve">transferred into the Scottish Tribunals in December 2016. </w:t>
      </w:r>
      <w:r w:rsidR="0096756C" w:rsidRPr="00932013">
        <w:rPr>
          <w:rFonts w:ascii="Arial" w:hAnsi="Arial" w:cs="Arial"/>
          <w:sz w:val="24"/>
          <w:szCs w:val="24"/>
        </w:rPr>
        <w:t>The Scottish Tax Tribunals transfer</w:t>
      </w:r>
      <w:r w:rsidR="0096756C">
        <w:rPr>
          <w:rFonts w:ascii="Arial" w:hAnsi="Arial" w:cs="Arial"/>
          <w:sz w:val="24"/>
          <w:szCs w:val="24"/>
        </w:rPr>
        <w:t>red</w:t>
      </w:r>
      <w:r w:rsidR="0096756C" w:rsidRPr="00932013">
        <w:rPr>
          <w:rFonts w:ascii="Arial" w:hAnsi="Arial" w:cs="Arial"/>
          <w:sz w:val="24"/>
          <w:szCs w:val="24"/>
        </w:rPr>
        <w:t xml:space="preserve"> into the Scottish Tribunals in April 2017.</w:t>
      </w:r>
    </w:p>
    <w:p w:rsidR="0096756C" w:rsidRDefault="0096756C" w:rsidP="0096756C">
      <w:pPr>
        <w:pStyle w:val="ListParagraph"/>
      </w:pPr>
    </w:p>
    <w:p w:rsidR="0096756C" w:rsidRPr="0096756C" w:rsidRDefault="0096756C" w:rsidP="0096756C">
      <w:pPr>
        <w:pStyle w:val="ListParagraph"/>
        <w:numPr>
          <w:ilvl w:val="0"/>
          <w:numId w:val="12"/>
        </w:numPr>
        <w:rPr>
          <w:rFonts w:ascii="Arial" w:hAnsi="Arial" w:cs="Arial"/>
          <w:sz w:val="28"/>
          <w:szCs w:val="24"/>
        </w:rPr>
      </w:pPr>
      <w:r w:rsidRPr="0096756C">
        <w:rPr>
          <w:rFonts w:ascii="Arial" w:hAnsi="Arial" w:cs="Arial"/>
          <w:sz w:val="24"/>
        </w:rPr>
        <w:t xml:space="preserve">The Additional Support Needs Tribunals for Scotland (ASNTS) were established by the Education (Additional Support for Learning) (Scotland) Act 2004 in order to hear appeals against certain decisions of Education Authorities in relation to educational support. The Equality Act 2010 conferred additional functions upon the ASNTS, in order that the tribunals can hear appeals against decisions/actions of an educational body where it is alleged they have discriminated on the basis of disability. </w:t>
      </w:r>
    </w:p>
    <w:p w:rsidR="00932013" w:rsidRPr="005C43DD" w:rsidRDefault="00932013" w:rsidP="005C43DD">
      <w:pPr>
        <w:pStyle w:val="ListParagraph"/>
        <w:ind w:left="465"/>
        <w:rPr>
          <w:rFonts w:ascii="Arial" w:hAnsi="Arial" w:cs="Arial"/>
          <w:sz w:val="24"/>
          <w:szCs w:val="24"/>
        </w:rPr>
      </w:pPr>
    </w:p>
    <w:p w:rsidR="003B00FF" w:rsidRDefault="00677F21" w:rsidP="003B00FF">
      <w:pPr>
        <w:pStyle w:val="ListParagraph"/>
        <w:numPr>
          <w:ilvl w:val="0"/>
          <w:numId w:val="12"/>
        </w:numPr>
        <w:rPr>
          <w:rFonts w:ascii="Arial" w:hAnsi="Arial" w:cs="Arial"/>
          <w:sz w:val="24"/>
          <w:szCs w:val="24"/>
        </w:rPr>
      </w:pPr>
      <w:r w:rsidRPr="00932013">
        <w:rPr>
          <w:rFonts w:ascii="Arial" w:hAnsi="Arial" w:cs="Arial"/>
          <w:sz w:val="24"/>
          <w:szCs w:val="24"/>
        </w:rPr>
        <w:t xml:space="preserve">The Scottish Government ran </w:t>
      </w:r>
      <w:r w:rsidR="005B7496" w:rsidRPr="00932013">
        <w:rPr>
          <w:rFonts w:ascii="Arial" w:hAnsi="Arial" w:cs="Arial"/>
          <w:sz w:val="24"/>
          <w:szCs w:val="24"/>
        </w:rPr>
        <w:t xml:space="preserve">a consultation between </w:t>
      </w:r>
      <w:r w:rsidR="0096756C">
        <w:rPr>
          <w:rFonts w:ascii="Arial" w:hAnsi="Arial" w:cs="Arial"/>
          <w:sz w:val="24"/>
          <w:szCs w:val="24"/>
        </w:rPr>
        <w:t>22 May</w:t>
      </w:r>
      <w:r w:rsidR="00DF2ACF" w:rsidRPr="00932013">
        <w:rPr>
          <w:rFonts w:ascii="Arial" w:hAnsi="Arial" w:cs="Arial"/>
          <w:sz w:val="24"/>
          <w:szCs w:val="24"/>
        </w:rPr>
        <w:t xml:space="preserve"> </w:t>
      </w:r>
      <w:r w:rsidRPr="00932013">
        <w:rPr>
          <w:rFonts w:ascii="Arial" w:hAnsi="Arial" w:cs="Arial"/>
          <w:sz w:val="24"/>
          <w:szCs w:val="24"/>
        </w:rPr>
        <w:t xml:space="preserve">and </w:t>
      </w:r>
      <w:r w:rsidR="0096756C">
        <w:rPr>
          <w:rFonts w:ascii="Arial" w:hAnsi="Arial" w:cs="Arial"/>
          <w:sz w:val="24"/>
          <w:szCs w:val="24"/>
        </w:rPr>
        <w:t>1 August 2017</w:t>
      </w:r>
      <w:r w:rsidR="005B7496" w:rsidRPr="00932013">
        <w:rPr>
          <w:rFonts w:ascii="Arial" w:hAnsi="Arial" w:cs="Arial"/>
          <w:sz w:val="24"/>
          <w:szCs w:val="24"/>
        </w:rPr>
        <w:t xml:space="preserve"> on</w:t>
      </w:r>
      <w:r w:rsidR="005C43DD">
        <w:rPr>
          <w:rFonts w:ascii="Arial" w:hAnsi="Arial" w:cs="Arial"/>
          <w:sz w:val="24"/>
          <w:szCs w:val="24"/>
        </w:rPr>
        <w:t xml:space="preserve"> the suite of draft regulations required to transfer the ASNTS into the Scottish Tribunals.</w:t>
      </w:r>
      <w:r w:rsidR="000F6C5E">
        <w:rPr>
          <w:rStyle w:val="FootnoteReference"/>
          <w:rFonts w:ascii="Arial" w:hAnsi="Arial" w:cs="Arial"/>
          <w:sz w:val="24"/>
          <w:szCs w:val="24"/>
        </w:rPr>
        <w:footnoteReference w:id="1"/>
      </w:r>
      <w:r w:rsidR="00DF2ACF" w:rsidRPr="00932013">
        <w:rPr>
          <w:rFonts w:ascii="Arial" w:hAnsi="Arial" w:cs="Arial"/>
          <w:sz w:val="24"/>
          <w:szCs w:val="24"/>
        </w:rPr>
        <w:t xml:space="preserve">. </w:t>
      </w:r>
    </w:p>
    <w:p w:rsidR="005C43DD" w:rsidRPr="005C43DD" w:rsidRDefault="005C43DD" w:rsidP="005C43DD">
      <w:pPr>
        <w:spacing w:after="200"/>
        <w:rPr>
          <w:rFonts w:eastAsiaTheme="minorHAnsi" w:cs="Arial"/>
          <w:szCs w:val="24"/>
        </w:rPr>
      </w:pPr>
      <w:r>
        <w:rPr>
          <w:rFonts w:cs="Arial"/>
          <w:szCs w:val="24"/>
        </w:rPr>
        <w:br w:type="page"/>
      </w:r>
    </w:p>
    <w:p w:rsidR="0056133A" w:rsidRDefault="0056133A" w:rsidP="0056133A">
      <w:pPr>
        <w:rPr>
          <w:rFonts w:cs="Arial"/>
          <w:b/>
          <w:szCs w:val="24"/>
        </w:rPr>
      </w:pPr>
      <w:r>
        <w:rPr>
          <w:rFonts w:cs="Arial"/>
          <w:b/>
          <w:szCs w:val="24"/>
        </w:rPr>
        <w:lastRenderedPageBreak/>
        <w:t>Consultation responses</w:t>
      </w:r>
    </w:p>
    <w:p w:rsidR="00300574" w:rsidRDefault="00F94218" w:rsidP="005C43DD">
      <w:pPr>
        <w:pStyle w:val="ListParagraph"/>
        <w:numPr>
          <w:ilvl w:val="0"/>
          <w:numId w:val="12"/>
        </w:numPr>
        <w:rPr>
          <w:rFonts w:ascii="Arial" w:hAnsi="Arial" w:cs="Arial"/>
          <w:sz w:val="24"/>
          <w:szCs w:val="24"/>
        </w:rPr>
      </w:pPr>
      <w:r w:rsidRPr="00300574">
        <w:rPr>
          <w:rFonts w:ascii="Arial" w:hAnsi="Arial" w:cs="Arial"/>
          <w:sz w:val="24"/>
          <w:szCs w:val="24"/>
        </w:rPr>
        <w:t xml:space="preserve">There were </w:t>
      </w:r>
      <w:r w:rsidR="005C43DD">
        <w:rPr>
          <w:rFonts w:ascii="Arial" w:hAnsi="Arial" w:cs="Arial"/>
          <w:sz w:val="24"/>
          <w:szCs w:val="24"/>
        </w:rPr>
        <w:t>15 responses</w:t>
      </w:r>
      <w:r w:rsidR="00DF2ACF">
        <w:rPr>
          <w:rFonts w:ascii="Arial" w:hAnsi="Arial" w:cs="Arial"/>
          <w:sz w:val="24"/>
          <w:szCs w:val="24"/>
        </w:rPr>
        <w:t xml:space="preserve"> to the consultation</w:t>
      </w:r>
      <w:r w:rsidR="005C43DD">
        <w:rPr>
          <w:rFonts w:ascii="Arial" w:hAnsi="Arial" w:cs="Arial"/>
          <w:sz w:val="24"/>
          <w:szCs w:val="24"/>
        </w:rPr>
        <w:t xml:space="preserve"> from individuals and organisations. There were nine responses from Local Authorities, three from organisations, two from individuals and one from the Law Society of Scotland. </w:t>
      </w:r>
    </w:p>
    <w:p w:rsidR="005C43DD" w:rsidRPr="005C43DD" w:rsidRDefault="005C43DD" w:rsidP="005C43DD">
      <w:pPr>
        <w:pStyle w:val="ListParagraph"/>
        <w:ind w:left="465"/>
        <w:rPr>
          <w:rFonts w:ascii="Arial" w:hAnsi="Arial" w:cs="Arial"/>
          <w:sz w:val="24"/>
          <w:szCs w:val="24"/>
        </w:rPr>
      </w:pPr>
    </w:p>
    <w:p w:rsidR="00326BBC" w:rsidRPr="00932013" w:rsidRDefault="00B52BDE" w:rsidP="00326BBC">
      <w:pPr>
        <w:pStyle w:val="ListParagraph"/>
        <w:numPr>
          <w:ilvl w:val="0"/>
          <w:numId w:val="12"/>
        </w:numPr>
        <w:rPr>
          <w:rFonts w:ascii="Arial" w:hAnsi="Arial" w:cs="Arial"/>
          <w:sz w:val="24"/>
          <w:szCs w:val="24"/>
        </w:rPr>
      </w:pPr>
      <w:r w:rsidRPr="000F5120">
        <w:rPr>
          <w:rFonts w:ascii="Arial" w:hAnsi="Arial" w:cs="Arial"/>
          <w:sz w:val="24"/>
          <w:szCs w:val="24"/>
        </w:rPr>
        <w:t xml:space="preserve">Due to the small number of responses this analysis relies on consideration of </w:t>
      </w:r>
      <w:r w:rsidR="000F6C5E">
        <w:rPr>
          <w:rFonts w:ascii="Arial" w:hAnsi="Arial" w:cs="Arial"/>
          <w:sz w:val="24"/>
          <w:szCs w:val="24"/>
        </w:rPr>
        <w:t xml:space="preserve">the key points raised in the </w:t>
      </w:r>
      <w:r w:rsidRPr="000F5120">
        <w:rPr>
          <w:rFonts w:ascii="Arial" w:hAnsi="Arial" w:cs="Arial"/>
          <w:sz w:val="24"/>
          <w:szCs w:val="24"/>
        </w:rPr>
        <w:t>response</w:t>
      </w:r>
      <w:r w:rsidR="009B0341">
        <w:rPr>
          <w:rFonts w:ascii="Arial" w:hAnsi="Arial" w:cs="Arial"/>
          <w:sz w:val="24"/>
          <w:szCs w:val="24"/>
        </w:rPr>
        <w:t>s relating to each set of regulations</w:t>
      </w:r>
      <w:r w:rsidR="00B927FE">
        <w:rPr>
          <w:rFonts w:ascii="Arial" w:hAnsi="Arial" w:cs="Arial"/>
          <w:sz w:val="24"/>
          <w:szCs w:val="24"/>
        </w:rPr>
        <w:t xml:space="preserve"> </w:t>
      </w:r>
      <w:r w:rsidRPr="000F5120">
        <w:rPr>
          <w:rFonts w:ascii="Arial" w:hAnsi="Arial" w:cs="Arial"/>
          <w:sz w:val="24"/>
          <w:szCs w:val="24"/>
        </w:rPr>
        <w:t>rather than an in</w:t>
      </w:r>
      <w:r w:rsidR="002E15A9">
        <w:rPr>
          <w:rFonts w:ascii="Arial" w:hAnsi="Arial" w:cs="Arial"/>
          <w:sz w:val="24"/>
          <w:szCs w:val="24"/>
        </w:rPr>
        <w:t>-</w:t>
      </w:r>
      <w:r w:rsidRPr="000F5120">
        <w:rPr>
          <w:rFonts w:ascii="Arial" w:hAnsi="Arial" w:cs="Arial"/>
          <w:sz w:val="24"/>
          <w:szCs w:val="24"/>
        </w:rPr>
        <w:t xml:space="preserve">depth statistical analysis of the responses. </w:t>
      </w:r>
    </w:p>
    <w:p w:rsidR="000F5120" w:rsidRDefault="000F5120" w:rsidP="000F5120">
      <w:pPr>
        <w:pStyle w:val="ListParagraph"/>
        <w:ind w:left="465"/>
        <w:rPr>
          <w:rFonts w:ascii="Arial" w:hAnsi="Arial" w:cs="Arial"/>
          <w:sz w:val="24"/>
          <w:szCs w:val="24"/>
        </w:rPr>
      </w:pPr>
    </w:p>
    <w:p w:rsidR="000F5120" w:rsidRPr="003B00FF" w:rsidRDefault="000F5120" w:rsidP="003B00FF">
      <w:pPr>
        <w:rPr>
          <w:rFonts w:cs="Arial"/>
          <w:b/>
          <w:szCs w:val="24"/>
        </w:rPr>
      </w:pPr>
      <w:r w:rsidRPr="003B00FF">
        <w:rPr>
          <w:rFonts w:cs="Arial"/>
          <w:b/>
          <w:szCs w:val="24"/>
        </w:rPr>
        <w:t xml:space="preserve">Analysis of responses </w:t>
      </w:r>
    </w:p>
    <w:p w:rsidR="005C43DD" w:rsidRDefault="005C43DD" w:rsidP="005C43DD">
      <w:pPr>
        <w:pStyle w:val="ListParagraph"/>
        <w:numPr>
          <w:ilvl w:val="0"/>
          <w:numId w:val="12"/>
        </w:numPr>
        <w:rPr>
          <w:rFonts w:ascii="Arial" w:hAnsi="Arial" w:cs="Arial"/>
          <w:sz w:val="24"/>
          <w:szCs w:val="24"/>
        </w:rPr>
      </w:pPr>
      <w:r w:rsidRPr="005C43DD">
        <w:rPr>
          <w:rFonts w:ascii="Arial" w:hAnsi="Arial" w:cs="Arial"/>
          <w:sz w:val="24"/>
          <w:szCs w:val="24"/>
        </w:rPr>
        <w:t xml:space="preserve">All the responses received were in relation to the Health and Education Chamber Rules. All the typographical amendments that were suggested have been taken on board. </w:t>
      </w:r>
    </w:p>
    <w:p w:rsidR="005C43DD" w:rsidRDefault="005C43DD" w:rsidP="005C43DD">
      <w:pPr>
        <w:pStyle w:val="ListParagraph"/>
        <w:ind w:left="465"/>
        <w:rPr>
          <w:rFonts w:ascii="Arial" w:hAnsi="Arial" w:cs="Arial"/>
          <w:sz w:val="24"/>
          <w:szCs w:val="24"/>
        </w:rPr>
      </w:pPr>
    </w:p>
    <w:p w:rsidR="005C43DD" w:rsidRPr="005C43DD" w:rsidRDefault="005C43DD" w:rsidP="005C43DD">
      <w:pPr>
        <w:pStyle w:val="ListParagraph"/>
        <w:numPr>
          <w:ilvl w:val="0"/>
          <w:numId w:val="12"/>
        </w:numPr>
        <w:rPr>
          <w:rFonts w:ascii="Arial" w:hAnsi="Arial" w:cs="Arial"/>
          <w:sz w:val="24"/>
          <w:szCs w:val="24"/>
        </w:rPr>
      </w:pPr>
      <w:r>
        <w:rPr>
          <w:rFonts w:ascii="Arial" w:hAnsi="Arial" w:cs="Arial"/>
          <w:sz w:val="24"/>
          <w:szCs w:val="24"/>
        </w:rPr>
        <w:t xml:space="preserve">The majority of the comments received suggested amendments to the existing rules of procedure. We discussed these amendments with the Support and Wellbeing Policy team and </w:t>
      </w:r>
      <w:r w:rsidR="00ED507A">
        <w:rPr>
          <w:rFonts w:ascii="Arial" w:hAnsi="Arial" w:cs="Arial"/>
          <w:sz w:val="24"/>
          <w:szCs w:val="24"/>
        </w:rPr>
        <w:t xml:space="preserve">as summary of our responses to the main comments is in Annex A. </w:t>
      </w:r>
      <w:r>
        <w:rPr>
          <w:rFonts w:ascii="Arial" w:hAnsi="Arial" w:cs="Arial"/>
          <w:sz w:val="24"/>
          <w:szCs w:val="24"/>
        </w:rPr>
        <w:t xml:space="preserve"> </w:t>
      </w:r>
    </w:p>
    <w:p w:rsidR="001123CC" w:rsidRDefault="007E6F7F" w:rsidP="001123CC">
      <w:pPr>
        <w:rPr>
          <w:rFonts w:cs="Arial"/>
          <w:b/>
          <w:szCs w:val="24"/>
        </w:rPr>
      </w:pPr>
      <w:r>
        <w:rPr>
          <w:rFonts w:cs="Arial"/>
          <w:b/>
          <w:szCs w:val="24"/>
        </w:rPr>
        <w:t xml:space="preserve">Next Steps </w:t>
      </w:r>
    </w:p>
    <w:p w:rsidR="007E6F7F" w:rsidRDefault="007E6F7F" w:rsidP="001123CC">
      <w:pPr>
        <w:rPr>
          <w:rFonts w:cs="Arial"/>
          <w:b/>
          <w:szCs w:val="24"/>
        </w:rPr>
      </w:pPr>
    </w:p>
    <w:p w:rsidR="00ED507A" w:rsidRDefault="007E6F7F" w:rsidP="00AA086F">
      <w:pPr>
        <w:pStyle w:val="ListParagraph"/>
        <w:numPr>
          <w:ilvl w:val="0"/>
          <w:numId w:val="12"/>
        </w:numPr>
        <w:rPr>
          <w:rFonts w:ascii="Arial" w:hAnsi="Arial" w:cs="Arial"/>
          <w:sz w:val="24"/>
          <w:szCs w:val="24"/>
        </w:rPr>
      </w:pPr>
      <w:r w:rsidRPr="007E6F7F">
        <w:rPr>
          <w:rFonts w:ascii="Arial" w:hAnsi="Arial" w:cs="Arial"/>
          <w:sz w:val="24"/>
          <w:szCs w:val="24"/>
        </w:rPr>
        <w:t xml:space="preserve">The draft regulations have been amended </w:t>
      </w:r>
      <w:r w:rsidR="00E51D35">
        <w:rPr>
          <w:rFonts w:ascii="Arial" w:hAnsi="Arial" w:cs="Arial"/>
          <w:sz w:val="24"/>
          <w:szCs w:val="24"/>
        </w:rPr>
        <w:t>as considered appropriate, in light of</w:t>
      </w:r>
      <w:r w:rsidRPr="007E6F7F">
        <w:rPr>
          <w:rFonts w:ascii="Arial" w:hAnsi="Arial" w:cs="Arial"/>
          <w:sz w:val="24"/>
          <w:szCs w:val="24"/>
        </w:rPr>
        <w:t xml:space="preserve"> </w:t>
      </w:r>
      <w:r w:rsidR="00223C4A" w:rsidRPr="007E6F7F">
        <w:rPr>
          <w:rFonts w:ascii="Arial" w:hAnsi="Arial" w:cs="Arial"/>
          <w:sz w:val="24"/>
          <w:szCs w:val="24"/>
        </w:rPr>
        <w:t>respondents’</w:t>
      </w:r>
      <w:r w:rsidR="00AA086F">
        <w:rPr>
          <w:rFonts w:ascii="Arial" w:hAnsi="Arial" w:cs="Arial"/>
          <w:sz w:val="24"/>
          <w:szCs w:val="24"/>
        </w:rPr>
        <w:t xml:space="preserve"> comments. </w:t>
      </w:r>
      <w:r w:rsidR="00ED507A">
        <w:rPr>
          <w:rFonts w:ascii="Arial" w:hAnsi="Arial" w:cs="Arial"/>
          <w:sz w:val="24"/>
          <w:szCs w:val="24"/>
        </w:rPr>
        <w:t xml:space="preserve">The regulations setting out the eligibility criteria for ordinary members of the First-tier Tribunal with health and education experience were laid in the Scottish Parliament on 4 September 2017 and came into force on 2 October 2017. This was to allow the Judicial Appointments Board for Scotland to undertake a recruitment exercise for ordinary and legal members of the First-tier Tribunal assigned to the Health and Education Chamber. </w:t>
      </w:r>
    </w:p>
    <w:p w:rsidR="00ED507A" w:rsidRDefault="00ED507A" w:rsidP="00ED507A">
      <w:pPr>
        <w:pStyle w:val="ListParagraph"/>
        <w:ind w:left="465"/>
        <w:rPr>
          <w:rFonts w:ascii="Arial" w:hAnsi="Arial" w:cs="Arial"/>
          <w:sz w:val="24"/>
          <w:szCs w:val="24"/>
        </w:rPr>
      </w:pPr>
    </w:p>
    <w:p w:rsidR="007E6F7F" w:rsidRDefault="00ED507A" w:rsidP="00AA086F">
      <w:pPr>
        <w:pStyle w:val="ListParagraph"/>
        <w:numPr>
          <w:ilvl w:val="0"/>
          <w:numId w:val="12"/>
        </w:numPr>
        <w:rPr>
          <w:rFonts w:ascii="Arial" w:hAnsi="Arial" w:cs="Arial"/>
          <w:sz w:val="24"/>
          <w:szCs w:val="24"/>
        </w:rPr>
      </w:pPr>
      <w:r>
        <w:rPr>
          <w:rFonts w:ascii="Arial" w:hAnsi="Arial" w:cs="Arial"/>
          <w:sz w:val="24"/>
          <w:szCs w:val="24"/>
        </w:rPr>
        <w:t xml:space="preserve">The remaining regulations were laid in the Scottish Parliament on 30 October 2017 and are due to come into force on 12 January 2018. </w:t>
      </w:r>
    </w:p>
    <w:p w:rsidR="00ED507A" w:rsidRDefault="00ED507A" w:rsidP="00ED507A">
      <w:pPr>
        <w:rPr>
          <w:rFonts w:cs="Arial"/>
          <w:szCs w:val="24"/>
        </w:rPr>
        <w:sectPr w:rsidR="00ED507A">
          <w:footerReference w:type="default" r:id="rId12"/>
          <w:pgSz w:w="11906" w:h="16838"/>
          <w:pgMar w:top="1440" w:right="1440" w:bottom="1440" w:left="1440" w:header="708" w:footer="708" w:gutter="0"/>
          <w:cols w:space="708"/>
          <w:docGrid w:linePitch="360"/>
        </w:sectPr>
      </w:pPr>
    </w:p>
    <w:p w:rsidR="00ED507A" w:rsidRPr="00ED507A" w:rsidRDefault="00ED507A" w:rsidP="00ED507A">
      <w:pPr>
        <w:ind w:left="5040"/>
        <w:rPr>
          <w:rFonts w:cs="Arial"/>
          <w:b/>
          <w:szCs w:val="24"/>
        </w:rPr>
      </w:pPr>
      <w:r>
        <w:rPr>
          <w:rFonts w:cs="Arial"/>
          <w:b/>
          <w:szCs w:val="24"/>
        </w:rPr>
        <w:lastRenderedPageBreak/>
        <w:t xml:space="preserve">Summary of key responses </w:t>
      </w:r>
    </w:p>
    <w:p w:rsidR="00F76C88" w:rsidRDefault="00ED507A" w:rsidP="00ED507A">
      <w:pPr>
        <w:spacing w:after="200"/>
        <w:jc w:val="right"/>
        <w:rPr>
          <w:rFonts w:cs="Arial"/>
          <w:b/>
          <w:szCs w:val="24"/>
        </w:rPr>
      </w:pPr>
      <w:r>
        <w:rPr>
          <w:rFonts w:cs="Arial"/>
          <w:b/>
          <w:szCs w:val="24"/>
        </w:rPr>
        <w:t>ANNEX A</w:t>
      </w:r>
    </w:p>
    <w:p w:rsidR="00ED507A" w:rsidRDefault="00ED507A" w:rsidP="00ED507A">
      <w:pPr>
        <w:spacing w:after="200"/>
        <w:rPr>
          <w:rFonts w:cs="Arial"/>
          <w:b/>
          <w:szCs w:val="24"/>
        </w:rPr>
      </w:pPr>
      <w:r>
        <w:rPr>
          <w:rFonts w:cs="Arial"/>
          <w:b/>
          <w:szCs w:val="24"/>
        </w:rPr>
        <w:tab/>
      </w:r>
      <w:r>
        <w:rPr>
          <w:rFonts w:cs="Arial"/>
          <w:b/>
          <w:szCs w:val="24"/>
        </w:rPr>
        <w:tab/>
      </w:r>
      <w:r>
        <w:rPr>
          <w:rFonts w:cs="Arial"/>
          <w:b/>
          <w:szCs w:val="24"/>
        </w:rPr>
        <w:tab/>
      </w:r>
      <w:r>
        <w:rPr>
          <w:rFonts w:cs="Arial"/>
          <w:b/>
          <w:szCs w:val="24"/>
        </w:rPr>
        <w:tab/>
      </w:r>
    </w:p>
    <w:tbl>
      <w:tblPr>
        <w:tblStyle w:val="TableGrid"/>
        <w:tblW w:w="0" w:type="auto"/>
        <w:tblLook w:val="04A0" w:firstRow="1" w:lastRow="0" w:firstColumn="1" w:lastColumn="0" w:noHBand="0" w:noVBand="1"/>
      </w:tblPr>
      <w:tblGrid>
        <w:gridCol w:w="2636"/>
        <w:gridCol w:w="4641"/>
        <w:gridCol w:w="6897"/>
      </w:tblGrid>
      <w:tr w:rsidR="00ED507A" w:rsidRPr="00ED507A" w:rsidTr="00ED507A">
        <w:trPr>
          <w:trHeight w:val="255"/>
        </w:trPr>
        <w:tc>
          <w:tcPr>
            <w:tcW w:w="3040" w:type="dxa"/>
            <w:noWrap/>
            <w:hideMark/>
          </w:tcPr>
          <w:p w:rsidR="00ED507A" w:rsidRPr="00ED507A" w:rsidRDefault="00ED507A" w:rsidP="00ED507A">
            <w:pPr>
              <w:spacing w:after="200"/>
              <w:rPr>
                <w:rFonts w:cs="Arial"/>
                <w:b/>
                <w:bCs/>
                <w:szCs w:val="24"/>
              </w:rPr>
            </w:pPr>
            <w:r w:rsidRPr="00ED507A">
              <w:rPr>
                <w:rFonts w:cs="Arial"/>
                <w:b/>
                <w:bCs/>
                <w:szCs w:val="24"/>
              </w:rPr>
              <w:t> </w:t>
            </w:r>
            <w:r>
              <w:rPr>
                <w:rFonts w:cs="Arial"/>
                <w:b/>
                <w:bCs/>
                <w:szCs w:val="24"/>
              </w:rPr>
              <w:t>Rule</w:t>
            </w:r>
          </w:p>
        </w:tc>
        <w:tc>
          <w:tcPr>
            <w:tcW w:w="5380" w:type="dxa"/>
            <w:noWrap/>
            <w:hideMark/>
          </w:tcPr>
          <w:p w:rsidR="00ED507A" w:rsidRPr="00ED507A" w:rsidRDefault="00ED507A" w:rsidP="00ED507A">
            <w:pPr>
              <w:spacing w:after="200"/>
              <w:rPr>
                <w:rFonts w:cs="Arial"/>
                <w:b/>
                <w:bCs/>
                <w:szCs w:val="24"/>
              </w:rPr>
            </w:pPr>
            <w:r w:rsidRPr="00ED507A">
              <w:rPr>
                <w:rFonts w:cs="Arial"/>
                <w:b/>
                <w:bCs/>
                <w:szCs w:val="24"/>
              </w:rPr>
              <w:t xml:space="preserve">Consultation response </w:t>
            </w:r>
          </w:p>
        </w:tc>
        <w:tc>
          <w:tcPr>
            <w:tcW w:w="8012" w:type="dxa"/>
            <w:noWrap/>
            <w:hideMark/>
          </w:tcPr>
          <w:p w:rsidR="00ED507A" w:rsidRPr="00ED507A" w:rsidRDefault="00ED507A" w:rsidP="00ED507A">
            <w:pPr>
              <w:spacing w:after="200"/>
              <w:rPr>
                <w:rFonts w:cs="Arial"/>
                <w:b/>
                <w:bCs/>
                <w:szCs w:val="24"/>
              </w:rPr>
            </w:pPr>
            <w:r>
              <w:rPr>
                <w:rFonts w:cs="Arial"/>
                <w:b/>
                <w:bCs/>
                <w:szCs w:val="24"/>
              </w:rPr>
              <w:t>Scottish Government r</w:t>
            </w:r>
            <w:r w:rsidRPr="00ED507A">
              <w:rPr>
                <w:rFonts w:cs="Arial"/>
                <w:b/>
                <w:bCs/>
                <w:szCs w:val="24"/>
              </w:rPr>
              <w:t>esponse</w:t>
            </w:r>
          </w:p>
        </w:tc>
      </w:tr>
      <w:tr w:rsidR="00ED507A" w:rsidRPr="00ED507A" w:rsidTr="00ED507A">
        <w:trPr>
          <w:trHeight w:val="765"/>
        </w:trPr>
        <w:tc>
          <w:tcPr>
            <w:tcW w:w="3040" w:type="dxa"/>
            <w:noWrap/>
            <w:hideMark/>
          </w:tcPr>
          <w:p w:rsidR="00ED507A" w:rsidRPr="00ED507A" w:rsidRDefault="00ED507A" w:rsidP="00ED507A">
            <w:pPr>
              <w:spacing w:after="200"/>
              <w:rPr>
                <w:rFonts w:cs="Arial"/>
                <w:szCs w:val="24"/>
              </w:rPr>
            </w:pPr>
            <w:r w:rsidRPr="00ED507A">
              <w:rPr>
                <w:rFonts w:cs="Arial"/>
                <w:szCs w:val="24"/>
              </w:rPr>
              <w:t>Rule 1 (Interpretation)</w:t>
            </w:r>
          </w:p>
        </w:tc>
        <w:tc>
          <w:tcPr>
            <w:tcW w:w="5380" w:type="dxa"/>
            <w:hideMark/>
          </w:tcPr>
          <w:p w:rsidR="00ED507A" w:rsidRPr="00ED507A" w:rsidRDefault="00ED507A" w:rsidP="00ED507A">
            <w:pPr>
              <w:spacing w:after="200"/>
              <w:rPr>
                <w:rFonts w:cs="Arial"/>
                <w:szCs w:val="24"/>
              </w:rPr>
            </w:pPr>
            <w:r w:rsidRPr="00ED507A">
              <w:rPr>
                <w:rFonts w:cs="Arial"/>
                <w:szCs w:val="24"/>
              </w:rPr>
              <w:t>Working day should include day</w:t>
            </w:r>
            <w:r w:rsidR="00850ED6">
              <w:rPr>
                <w:rFonts w:cs="Arial"/>
                <w:szCs w:val="24"/>
              </w:rPr>
              <w:t>s</w:t>
            </w:r>
            <w:r w:rsidRPr="00ED507A">
              <w:rPr>
                <w:rFonts w:cs="Arial"/>
                <w:szCs w:val="24"/>
              </w:rPr>
              <w:t xml:space="preserve"> in July. </w:t>
            </w:r>
          </w:p>
        </w:tc>
        <w:tc>
          <w:tcPr>
            <w:tcW w:w="8012" w:type="dxa"/>
            <w:hideMark/>
          </w:tcPr>
          <w:p w:rsidR="00ED507A" w:rsidRPr="00ED507A" w:rsidRDefault="00ED507A" w:rsidP="00ED507A">
            <w:pPr>
              <w:spacing w:after="200"/>
              <w:rPr>
                <w:rFonts w:cs="Arial"/>
                <w:szCs w:val="24"/>
              </w:rPr>
            </w:pPr>
            <w:r w:rsidRPr="00ED507A">
              <w:rPr>
                <w:rFonts w:cs="Arial"/>
                <w:szCs w:val="24"/>
              </w:rPr>
              <w:t xml:space="preserve">Decision taken to retain existing provisions as schools are closed during July and there may be difficulties for parties to obtain relevant information to take reference forward during this time. </w:t>
            </w:r>
          </w:p>
        </w:tc>
      </w:tr>
      <w:tr w:rsidR="00ED507A" w:rsidRPr="00ED507A" w:rsidTr="00ED507A">
        <w:trPr>
          <w:trHeight w:val="255"/>
        </w:trPr>
        <w:tc>
          <w:tcPr>
            <w:tcW w:w="3040" w:type="dxa"/>
            <w:noWrap/>
            <w:hideMark/>
          </w:tcPr>
          <w:p w:rsidR="00ED507A" w:rsidRPr="00ED507A" w:rsidRDefault="00ED507A" w:rsidP="00ED507A">
            <w:pPr>
              <w:spacing w:after="200"/>
              <w:rPr>
                <w:rFonts w:cs="Arial"/>
                <w:szCs w:val="24"/>
              </w:rPr>
            </w:pPr>
            <w:r w:rsidRPr="00ED507A">
              <w:rPr>
                <w:rFonts w:cs="Arial"/>
                <w:szCs w:val="24"/>
              </w:rPr>
              <w:t>Rule 1 (Interpretation)</w:t>
            </w:r>
          </w:p>
        </w:tc>
        <w:tc>
          <w:tcPr>
            <w:tcW w:w="5380" w:type="dxa"/>
            <w:hideMark/>
          </w:tcPr>
          <w:p w:rsidR="00ED507A" w:rsidRPr="00ED507A" w:rsidRDefault="00ED507A" w:rsidP="00ED507A">
            <w:pPr>
              <w:spacing w:after="200"/>
              <w:rPr>
                <w:rFonts w:cs="Arial"/>
                <w:szCs w:val="24"/>
              </w:rPr>
            </w:pPr>
            <w:r w:rsidRPr="00ED507A">
              <w:rPr>
                <w:rFonts w:cs="Arial"/>
                <w:szCs w:val="24"/>
              </w:rPr>
              <w:t xml:space="preserve">Paper hearing should be defined. </w:t>
            </w:r>
          </w:p>
        </w:tc>
        <w:tc>
          <w:tcPr>
            <w:tcW w:w="8012" w:type="dxa"/>
            <w:hideMark/>
          </w:tcPr>
          <w:p w:rsidR="00ED507A" w:rsidRPr="00ED507A" w:rsidRDefault="00ED507A" w:rsidP="00ED507A">
            <w:pPr>
              <w:spacing w:after="200"/>
              <w:rPr>
                <w:rFonts w:cs="Arial"/>
                <w:szCs w:val="24"/>
              </w:rPr>
            </w:pPr>
            <w:r w:rsidRPr="00ED507A">
              <w:rPr>
                <w:rFonts w:cs="Arial"/>
                <w:szCs w:val="24"/>
              </w:rPr>
              <w:t xml:space="preserve">Decision taken that this is sufficiently clear. </w:t>
            </w:r>
          </w:p>
        </w:tc>
      </w:tr>
      <w:tr w:rsidR="00ED507A" w:rsidRPr="00ED507A" w:rsidTr="00ED507A">
        <w:trPr>
          <w:trHeight w:val="765"/>
        </w:trPr>
        <w:tc>
          <w:tcPr>
            <w:tcW w:w="3040" w:type="dxa"/>
            <w:hideMark/>
          </w:tcPr>
          <w:p w:rsidR="00ED507A" w:rsidRPr="00ED507A" w:rsidRDefault="00ED507A" w:rsidP="00ED507A">
            <w:pPr>
              <w:spacing w:after="200"/>
              <w:rPr>
                <w:rFonts w:cs="Arial"/>
                <w:szCs w:val="24"/>
              </w:rPr>
            </w:pPr>
            <w:r w:rsidRPr="00ED507A">
              <w:rPr>
                <w:rFonts w:cs="Arial"/>
                <w:szCs w:val="24"/>
              </w:rPr>
              <w:t>Rule 5 (Supporter)</w:t>
            </w:r>
          </w:p>
        </w:tc>
        <w:tc>
          <w:tcPr>
            <w:tcW w:w="5380" w:type="dxa"/>
            <w:hideMark/>
          </w:tcPr>
          <w:p w:rsidR="00ED507A" w:rsidRPr="00ED507A" w:rsidRDefault="00ED507A" w:rsidP="00ED507A">
            <w:pPr>
              <w:spacing w:after="200"/>
              <w:rPr>
                <w:rFonts w:cs="Arial"/>
                <w:szCs w:val="24"/>
              </w:rPr>
            </w:pPr>
            <w:r w:rsidRPr="00ED507A">
              <w:rPr>
                <w:rFonts w:cs="Arial"/>
                <w:szCs w:val="24"/>
              </w:rPr>
              <w:t xml:space="preserve">This rule should not apply where the party is also represented and it should also be clearer whether an authority can attend with a supporter. </w:t>
            </w:r>
          </w:p>
        </w:tc>
        <w:tc>
          <w:tcPr>
            <w:tcW w:w="8012" w:type="dxa"/>
            <w:hideMark/>
          </w:tcPr>
          <w:p w:rsidR="00ED507A" w:rsidRPr="00ED507A" w:rsidRDefault="00ED507A" w:rsidP="00ED507A">
            <w:pPr>
              <w:spacing w:after="200"/>
              <w:rPr>
                <w:rFonts w:cs="Arial"/>
                <w:szCs w:val="24"/>
              </w:rPr>
            </w:pPr>
            <w:r w:rsidRPr="00ED507A">
              <w:rPr>
                <w:rFonts w:cs="Arial"/>
                <w:szCs w:val="24"/>
              </w:rPr>
              <w:t xml:space="preserve">Rule retained as a party may wish to have someone there for moral support even if they have a representative. Any party including an authority can attend with a supporter. </w:t>
            </w:r>
          </w:p>
        </w:tc>
      </w:tr>
      <w:tr w:rsidR="00ED507A" w:rsidRPr="00ED507A" w:rsidTr="00ED507A">
        <w:trPr>
          <w:trHeight w:val="510"/>
        </w:trPr>
        <w:tc>
          <w:tcPr>
            <w:tcW w:w="3040" w:type="dxa"/>
            <w:hideMark/>
          </w:tcPr>
          <w:p w:rsidR="00ED507A" w:rsidRPr="00ED507A" w:rsidRDefault="00ED507A" w:rsidP="00ED507A">
            <w:pPr>
              <w:spacing w:after="200"/>
              <w:rPr>
                <w:rFonts w:cs="Arial"/>
                <w:szCs w:val="24"/>
              </w:rPr>
            </w:pPr>
            <w:r w:rsidRPr="00ED507A">
              <w:rPr>
                <w:rFonts w:cs="Arial"/>
                <w:szCs w:val="24"/>
              </w:rPr>
              <w:t>Rule 7 (Delegation to Staff)</w:t>
            </w:r>
          </w:p>
        </w:tc>
        <w:tc>
          <w:tcPr>
            <w:tcW w:w="5380" w:type="dxa"/>
            <w:hideMark/>
          </w:tcPr>
          <w:p w:rsidR="00ED507A" w:rsidRPr="00ED507A" w:rsidRDefault="00ED507A" w:rsidP="00ED507A">
            <w:pPr>
              <w:spacing w:after="200"/>
              <w:rPr>
                <w:rFonts w:cs="Arial"/>
                <w:szCs w:val="24"/>
              </w:rPr>
            </w:pPr>
            <w:r w:rsidRPr="00ED507A">
              <w:rPr>
                <w:rFonts w:cs="Arial"/>
                <w:szCs w:val="24"/>
              </w:rPr>
              <w:t xml:space="preserve">Concerned that staff may make judicial decisions without required training. </w:t>
            </w:r>
          </w:p>
        </w:tc>
        <w:tc>
          <w:tcPr>
            <w:tcW w:w="8012" w:type="dxa"/>
            <w:hideMark/>
          </w:tcPr>
          <w:p w:rsidR="00ED507A" w:rsidRPr="00ED507A" w:rsidRDefault="00ED507A" w:rsidP="00ED507A">
            <w:pPr>
              <w:spacing w:after="200"/>
              <w:rPr>
                <w:rFonts w:cs="Arial"/>
                <w:szCs w:val="24"/>
              </w:rPr>
            </w:pPr>
            <w:r w:rsidRPr="00ED507A">
              <w:rPr>
                <w:rFonts w:cs="Arial"/>
                <w:szCs w:val="24"/>
              </w:rPr>
              <w:t xml:space="preserve">This rule only covers issues that are preliminary or incidental in nature and therefore won't cover the making of judicial decisions. </w:t>
            </w:r>
          </w:p>
        </w:tc>
      </w:tr>
      <w:tr w:rsidR="00ED507A" w:rsidRPr="00ED507A" w:rsidTr="00ED507A">
        <w:trPr>
          <w:trHeight w:val="765"/>
        </w:trPr>
        <w:tc>
          <w:tcPr>
            <w:tcW w:w="3040" w:type="dxa"/>
            <w:hideMark/>
          </w:tcPr>
          <w:p w:rsidR="00ED507A" w:rsidRPr="00ED507A" w:rsidRDefault="00ED507A" w:rsidP="00ED507A">
            <w:pPr>
              <w:spacing w:after="200"/>
              <w:rPr>
                <w:rFonts w:cs="Arial"/>
                <w:szCs w:val="24"/>
              </w:rPr>
            </w:pPr>
            <w:r w:rsidRPr="00ED507A">
              <w:rPr>
                <w:rFonts w:cs="Arial"/>
                <w:szCs w:val="24"/>
              </w:rPr>
              <w:t>Rule 10(3)b First-tier Tribunal's consideration of application for permission to appeal</w:t>
            </w:r>
          </w:p>
        </w:tc>
        <w:tc>
          <w:tcPr>
            <w:tcW w:w="5380" w:type="dxa"/>
            <w:hideMark/>
          </w:tcPr>
          <w:p w:rsidR="00ED507A" w:rsidRPr="00ED507A" w:rsidRDefault="00ED507A" w:rsidP="00ED507A">
            <w:pPr>
              <w:spacing w:after="200"/>
              <w:rPr>
                <w:rFonts w:cs="Arial"/>
                <w:szCs w:val="24"/>
              </w:rPr>
            </w:pPr>
            <w:r w:rsidRPr="00ED507A">
              <w:rPr>
                <w:rFonts w:cs="Arial"/>
                <w:szCs w:val="24"/>
              </w:rPr>
              <w:t>For clarity add "against that decision" after the word "appeal"</w:t>
            </w:r>
          </w:p>
        </w:tc>
        <w:tc>
          <w:tcPr>
            <w:tcW w:w="8012" w:type="dxa"/>
            <w:noWrap/>
            <w:hideMark/>
          </w:tcPr>
          <w:p w:rsidR="00ED507A" w:rsidRPr="00ED507A" w:rsidRDefault="00ED507A" w:rsidP="00ED507A">
            <w:pPr>
              <w:spacing w:after="200"/>
              <w:rPr>
                <w:rFonts w:cs="Arial"/>
                <w:szCs w:val="24"/>
              </w:rPr>
            </w:pPr>
            <w:r w:rsidRPr="00ED507A">
              <w:rPr>
                <w:rFonts w:cs="Arial"/>
                <w:szCs w:val="24"/>
              </w:rPr>
              <w:t>This is a generic provision across the Scottish Tribunals and it is considered clear enough.</w:t>
            </w:r>
          </w:p>
        </w:tc>
      </w:tr>
      <w:tr w:rsidR="00ED507A" w:rsidRPr="00ED507A" w:rsidTr="00ED507A">
        <w:trPr>
          <w:trHeight w:val="1530"/>
        </w:trPr>
        <w:tc>
          <w:tcPr>
            <w:tcW w:w="3040" w:type="dxa"/>
            <w:hideMark/>
          </w:tcPr>
          <w:p w:rsidR="00ED507A" w:rsidRPr="00ED507A" w:rsidRDefault="00ED507A" w:rsidP="00ED507A">
            <w:pPr>
              <w:spacing w:after="200"/>
              <w:rPr>
                <w:rFonts w:cs="Arial"/>
                <w:szCs w:val="24"/>
              </w:rPr>
            </w:pPr>
            <w:r w:rsidRPr="00ED507A">
              <w:rPr>
                <w:rFonts w:cs="Arial"/>
                <w:szCs w:val="24"/>
              </w:rPr>
              <w:lastRenderedPageBreak/>
              <w:t>Rule 11 (Review)</w:t>
            </w:r>
          </w:p>
        </w:tc>
        <w:tc>
          <w:tcPr>
            <w:tcW w:w="5380" w:type="dxa"/>
            <w:hideMark/>
          </w:tcPr>
          <w:p w:rsidR="00ED507A" w:rsidRPr="00ED507A" w:rsidRDefault="00ED507A" w:rsidP="00ED507A">
            <w:pPr>
              <w:spacing w:after="200"/>
              <w:rPr>
                <w:rFonts w:cs="Arial"/>
                <w:szCs w:val="24"/>
              </w:rPr>
            </w:pPr>
            <w:r w:rsidRPr="00ED507A">
              <w:rPr>
                <w:rFonts w:cs="Arial"/>
                <w:szCs w:val="24"/>
              </w:rPr>
              <w:t>Shortening of timescale for review to two weeks may prove problematic regarding availability of parties to form a view and decide whether to seek a review. . A legal member must be present to hear a review. Time</w:t>
            </w:r>
            <w:r w:rsidR="00850ED6">
              <w:rPr>
                <w:rFonts w:cs="Arial"/>
                <w:szCs w:val="24"/>
              </w:rPr>
              <w:t xml:space="preserve"> </w:t>
            </w:r>
            <w:r w:rsidRPr="00ED507A">
              <w:rPr>
                <w:rFonts w:cs="Arial"/>
                <w:szCs w:val="24"/>
              </w:rPr>
              <w:t xml:space="preserve">limit for permission to appeal should be extended by review period. </w:t>
            </w:r>
          </w:p>
        </w:tc>
        <w:tc>
          <w:tcPr>
            <w:tcW w:w="8012" w:type="dxa"/>
            <w:hideMark/>
          </w:tcPr>
          <w:p w:rsidR="00ED507A" w:rsidRPr="00ED507A" w:rsidRDefault="00ED507A" w:rsidP="00ED507A">
            <w:pPr>
              <w:spacing w:after="200"/>
              <w:rPr>
                <w:rFonts w:cs="Arial"/>
                <w:szCs w:val="24"/>
              </w:rPr>
            </w:pPr>
            <w:r w:rsidRPr="00ED507A">
              <w:rPr>
                <w:rFonts w:cs="Arial"/>
                <w:szCs w:val="24"/>
              </w:rPr>
              <w:t>As the 30 day time limit for seeking permission to appeal a decision runs concurrently 14 days for seeking a review was considered justified as it would still allow parties time if review is dismissed to seek permission to appeal.    Time</w:t>
            </w:r>
            <w:r w:rsidR="00850ED6">
              <w:rPr>
                <w:rFonts w:cs="Arial"/>
                <w:szCs w:val="24"/>
              </w:rPr>
              <w:t xml:space="preserve"> </w:t>
            </w:r>
            <w:r w:rsidRPr="00ED507A">
              <w:rPr>
                <w:rFonts w:cs="Arial"/>
                <w:szCs w:val="24"/>
              </w:rPr>
              <w:t>limit for permission to appeal can be extended by tribunal.</w:t>
            </w:r>
            <w:r w:rsidR="00850ED6">
              <w:rPr>
                <w:rFonts w:cs="Arial"/>
                <w:szCs w:val="24"/>
              </w:rPr>
              <w:t xml:space="preserve"> </w:t>
            </w:r>
            <w:r w:rsidRPr="00ED507A">
              <w:rPr>
                <w:rFonts w:cs="Arial"/>
                <w:szCs w:val="24"/>
              </w:rPr>
              <w:t>The decision has been taken not to extend 30 days</w:t>
            </w:r>
            <w:r w:rsidR="00850ED6">
              <w:rPr>
                <w:rFonts w:cs="Arial"/>
                <w:szCs w:val="24"/>
              </w:rPr>
              <w:t>’</w:t>
            </w:r>
            <w:r w:rsidRPr="00ED507A">
              <w:rPr>
                <w:rFonts w:cs="Arial"/>
                <w:szCs w:val="24"/>
              </w:rPr>
              <w:t xml:space="preserve"> time</w:t>
            </w:r>
            <w:r w:rsidR="00850ED6">
              <w:rPr>
                <w:rFonts w:cs="Arial"/>
                <w:szCs w:val="24"/>
              </w:rPr>
              <w:t xml:space="preserve"> </w:t>
            </w:r>
            <w:r w:rsidRPr="00ED507A">
              <w:rPr>
                <w:rFonts w:cs="Arial"/>
                <w:szCs w:val="24"/>
              </w:rPr>
              <w:t xml:space="preserve">limit for appeal as this would elongate the process. </w:t>
            </w:r>
          </w:p>
        </w:tc>
      </w:tr>
      <w:tr w:rsidR="00ED507A" w:rsidRPr="00ED507A" w:rsidTr="00ED507A">
        <w:trPr>
          <w:trHeight w:val="255"/>
        </w:trPr>
        <w:tc>
          <w:tcPr>
            <w:tcW w:w="3040" w:type="dxa"/>
            <w:hideMark/>
          </w:tcPr>
          <w:p w:rsidR="00ED507A" w:rsidRPr="00ED507A" w:rsidRDefault="00ED507A" w:rsidP="00ED507A">
            <w:pPr>
              <w:spacing w:after="200"/>
              <w:rPr>
                <w:rFonts w:cs="Arial"/>
                <w:szCs w:val="24"/>
              </w:rPr>
            </w:pPr>
            <w:r w:rsidRPr="00ED507A">
              <w:rPr>
                <w:rFonts w:cs="Arial"/>
                <w:szCs w:val="24"/>
              </w:rPr>
              <w:t>Rule 11 (Review)</w:t>
            </w:r>
          </w:p>
        </w:tc>
        <w:tc>
          <w:tcPr>
            <w:tcW w:w="5380" w:type="dxa"/>
            <w:hideMark/>
          </w:tcPr>
          <w:p w:rsidR="00ED507A" w:rsidRPr="00ED507A" w:rsidRDefault="00ED507A" w:rsidP="00ED507A">
            <w:pPr>
              <w:spacing w:after="200"/>
              <w:rPr>
                <w:rFonts w:cs="Arial"/>
                <w:szCs w:val="24"/>
              </w:rPr>
            </w:pPr>
            <w:r w:rsidRPr="00ED507A">
              <w:rPr>
                <w:rFonts w:cs="Arial"/>
                <w:szCs w:val="24"/>
              </w:rPr>
              <w:t>One of the reviewing members should be a legal member</w:t>
            </w:r>
          </w:p>
        </w:tc>
        <w:tc>
          <w:tcPr>
            <w:tcW w:w="8012" w:type="dxa"/>
            <w:hideMark/>
          </w:tcPr>
          <w:p w:rsidR="00ED507A" w:rsidRPr="00ED507A" w:rsidRDefault="00ED507A" w:rsidP="00ED507A">
            <w:pPr>
              <w:spacing w:after="200"/>
              <w:rPr>
                <w:rFonts w:cs="Arial"/>
                <w:szCs w:val="24"/>
              </w:rPr>
            </w:pPr>
            <w:r w:rsidRPr="00ED507A">
              <w:rPr>
                <w:rFonts w:cs="Arial"/>
                <w:szCs w:val="24"/>
              </w:rPr>
              <w:t xml:space="preserve">It is envisaged that a legal member will deal with a review. </w:t>
            </w:r>
          </w:p>
        </w:tc>
      </w:tr>
      <w:tr w:rsidR="00ED507A" w:rsidRPr="00ED507A" w:rsidTr="00ED507A">
        <w:trPr>
          <w:trHeight w:val="510"/>
        </w:trPr>
        <w:tc>
          <w:tcPr>
            <w:tcW w:w="3040" w:type="dxa"/>
            <w:hideMark/>
          </w:tcPr>
          <w:p w:rsidR="00ED507A" w:rsidRPr="00ED507A" w:rsidRDefault="00ED507A" w:rsidP="00ED507A">
            <w:pPr>
              <w:spacing w:after="200"/>
              <w:rPr>
                <w:rFonts w:cs="Arial"/>
                <w:szCs w:val="24"/>
              </w:rPr>
            </w:pPr>
            <w:r w:rsidRPr="00ED507A">
              <w:rPr>
                <w:rFonts w:cs="Arial"/>
                <w:szCs w:val="24"/>
              </w:rPr>
              <w:t>Rule 11 (Review)</w:t>
            </w:r>
          </w:p>
        </w:tc>
        <w:tc>
          <w:tcPr>
            <w:tcW w:w="5380" w:type="dxa"/>
            <w:hideMark/>
          </w:tcPr>
          <w:p w:rsidR="00ED507A" w:rsidRPr="00ED507A" w:rsidRDefault="00ED507A" w:rsidP="00ED507A">
            <w:pPr>
              <w:spacing w:after="200"/>
              <w:rPr>
                <w:rFonts w:cs="Arial"/>
                <w:szCs w:val="24"/>
              </w:rPr>
            </w:pPr>
            <w:r w:rsidRPr="00ED507A">
              <w:rPr>
                <w:rFonts w:cs="Arial"/>
                <w:szCs w:val="24"/>
              </w:rPr>
              <w:t>Ground for review should be based on an error of fact or law not simp</w:t>
            </w:r>
            <w:r w:rsidR="00850ED6">
              <w:rPr>
                <w:rFonts w:cs="Arial"/>
                <w:szCs w:val="24"/>
              </w:rPr>
              <w:t>l</w:t>
            </w:r>
            <w:r w:rsidRPr="00ED507A">
              <w:rPr>
                <w:rFonts w:cs="Arial"/>
                <w:szCs w:val="24"/>
              </w:rPr>
              <w:t xml:space="preserve">y an error of law </w:t>
            </w:r>
          </w:p>
        </w:tc>
        <w:tc>
          <w:tcPr>
            <w:tcW w:w="8012" w:type="dxa"/>
            <w:hideMark/>
          </w:tcPr>
          <w:p w:rsidR="00ED507A" w:rsidRPr="00ED507A" w:rsidRDefault="00ED507A" w:rsidP="00ED507A">
            <w:pPr>
              <w:spacing w:after="200"/>
              <w:rPr>
                <w:rFonts w:cs="Arial"/>
                <w:szCs w:val="24"/>
              </w:rPr>
            </w:pPr>
            <w:r w:rsidRPr="00ED507A">
              <w:rPr>
                <w:rFonts w:cs="Arial"/>
                <w:szCs w:val="24"/>
              </w:rPr>
              <w:t xml:space="preserve">The grounds for review are set out in section 43 of the Tribunals (Scotland) Act 2014. </w:t>
            </w:r>
          </w:p>
        </w:tc>
      </w:tr>
      <w:tr w:rsidR="00ED507A" w:rsidRPr="00ED507A" w:rsidTr="00ED507A">
        <w:trPr>
          <w:trHeight w:val="510"/>
        </w:trPr>
        <w:tc>
          <w:tcPr>
            <w:tcW w:w="3040" w:type="dxa"/>
            <w:hideMark/>
          </w:tcPr>
          <w:p w:rsidR="00ED507A" w:rsidRPr="00ED507A" w:rsidRDefault="00ED507A" w:rsidP="00ED507A">
            <w:pPr>
              <w:spacing w:after="200"/>
              <w:rPr>
                <w:rFonts w:cs="Arial"/>
                <w:szCs w:val="24"/>
              </w:rPr>
            </w:pPr>
            <w:r w:rsidRPr="00ED507A">
              <w:rPr>
                <w:rFonts w:cs="Arial"/>
                <w:szCs w:val="24"/>
              </w:rPr>
              <w:t>Rule 11 (Review)</w:t>
            </w:r>
          </w:p>
        </w:tc>
        <w:tc>
          <w:tcPr>
            <w:tcW w:w="5380" w:type="dxa"/>
            <w:hideMark/>
          </w:tcPr>
          <w:p w:rsidR="00ED507A" w:rsidRPr="00ED507A" w:rsidRDefault="00ED507A" w:rsidP="00ED507A">
            <w:pPr>
              <w:spacing w:after="200"/>
              <w:rPr>
                <w:rFonts w:cs="Arial"/>
                <w:szCs w:val="24"/>
              </w:rPr>
            </w:pPr>
            <w:r w:rsidRPr="00ED507A">
              <w:rPr>
                <w:rFonts w:cs="Arial"/>
                <w:szCs w:val="24"/>
              </w:rPr>
              <w:t xml:space="preserve">No provision for a paper hearing where both parties agree that should be the case </w:t>
            </w:r>
          </w:p>
        </w:tc>
        <w:tc>
          <w:tcPr>
            <w:tcW w:w="8012" w:type="dxa"/>
            <w:hideMark/>
          </w:tcPr>
          <w:p w:rsidR="00ED507A" w:rsidRPr="00ED507A" w:rsidRDefault="00ED507A" w:rsidP="00ED507A">
            <w:pPr>
              <w:spacing w:after="200"/>
              <w:rPr>
                <w:rFonts w:cs="Arial"/>
                <w:szCs w:val="24"/>
              </w:rPr>
            </w:pPr>
            <w:r w:rsidRPr="00ED507A">
              <w:rPr>
                <w:rFonts w:cs="Arial"/>
                <w:szCs w:val="24"/>
              </w:rPr>
              <w:t>Rule 11(5) allows the Tribunal to decide a review without a hearing if a hearing is not in the interests of justice.</w:t>
            </w:r>
          </w:p>
        </w:tc>
      </w:tr>
      <w:tr w:rsidR="00ED507A" w:rsidRPr="00ED507A" w:rsidTr="00ED507A">
        <w:trPr>
          <w:trHeight w:val="1650"/>
        </w:trPr>
        <w:tc>
          <w:tcPr>
            <w:tcW w:w="3040" w:type="dxa"/>
            <w:hideMark/>
          </w:tcPr>
          <w:p w:rsidR="00ED507A" w:rsidRPr="00ED507A" w:rsidRDefault="00ED507A" w:rsidP="00ED507A">
            <w:pPr>
              <w:spacing w:after="200"/>
              <w:rPr>
                <w:rFonts w:cs="Arial"/>
                <w:szCs w:val="24"/>
              </w:rPr>
            </w:pPr>
            <w:r w:rsidRPr="00ED507A">
              <w:rPr>
                <w:rFonts w:cs="Arial"/>
                <w:szCs w:val="24"/>
              </w:rPr>
              <w:t>Rule 11 (Review)</w:t>
            </w:r>
          </w:p>
        </w:tc>
        <w:tc>
          <w:tcPr>
            <w:tcW w:w="5380" w:type="dxa"/>
            <w:hideMark/>
          </w:tcPr>
          <w:p w:rsidR="00ED507A" w:rsidRPr="00ED507A" w:rsidRDefault="00ED507A" w:rsidP="00ED507A">
            <w:pPr>
              <w:spacing w:after="200"/>
              <w:rPr>
                <w:rFonts w:cs="Arial"/>
                <w:szCs w:val="24"/>
              </w:rPr>
            </w:pPr>
            <w:r w:rsidRPr="00ED507A">
              <w:rPr>
                <w:rFonts w:cs="Arial"/>
                <w:szCs w:val="24"/>
              </w:rPr>
              <w:t>Under what circumstances is it anticipated that the Tribunal might review a decision at its own instance? Does the 14 day time</w:t>
            </w:r>
            <w:r w:rsidR="00850ED6">
              <w:rPr>
                <w:rFonts w:cs="Arial"/>
                <w:szCs w:val="24"/>
              </w:rPr>
              <w:t xml:space="preserve"> </w:t>
            </w:r>
            <w:r w:rsidRPr="00ED507A">
              <w:rPr>
                <w:rFonts w:cs="Arial"/>
                <w:szCs w:val="24"/>
              </w:rPr>
              <w:t xml:space="preserve">limit apply to own instance reviews too? </w:t>
            </w:r>
          </w:p>
        </w:tc>
        <w:tc>
          <w:tcPr>
            <w:tcW w:w="8012" w:type="dxa"/>
            <w:hideMark/>
          </w:tcPr>
          <w:p w:rsidR="00ED507A" w:rsidRPr="00ED507A" w:rsidRDefault="00ED507A" w:rsidP="00ED507A">
            <w:pPr>
              <w:spacing w:after="200"/>
              <w:rPr>
                <w:rFonts w:cs="Arial"/>
                <w:szCs w:val="24"/>
              </w:rPr>
            </w:pPr>
            <w:r w:rsidRPr="00ED507A">
              <w:rPr>
                <w:rFonts w:cs="Arial"/>
                <w:szCs w:val="24"/>
              </w:rPr>
              <w:t>Allowing the tribunal to review a decision at its own instance gives the tribunal flexibility. Yes 14 day time</w:t>
            </w:r>
            <w:r w:rsidR="00850ED6">
              <w:rPr>
                <w:rFonts w:cs="Arial"/>
                <w:szCs w:val="24"/>
              </w:rPr>
              <w:t xml:space="preserve"> </w:t>
            </w:r>
            <w:r w:rsidRPr="00ED507A">
              <w:rPr>
                <w:rFonts w:cs="Arial"/>
                <w:szCs w:val="24"/>
              </w:rPr>
              <w:t xml:space="preserve">limit does apply to own instance reviews. </w:t>
            </w:r>
          </w:p>
        </w:tc>
      </w:tr>
      <w:tr w:rsidR="00ED507A" w:rsidRPr="00ED507A" w:rsidTr="00ED507A">
        <w:trPr>
          <w:trHeight w:val="1275"/>
        </w:trPr>
        <w:tc>
          <w:tcPr>
            <w:tcW w:w="3040" w:type="dxa"/>
            <w:hideMark/>
          </w:tcPr>
          <w:p w:rsidR="00ED507A" w:rsidRPr="00ED507A" w:rsidRDefault="00ED507A" w:rsidP="00ED507A">
            <w:pPr>
              <w:spacing w:after="200"/>
              <w:rPr>
                <w:rFonts w:cs="Arial"/>
                <w:szCs w:val="24"/>
              </w:rPr>
            </w:pPr>
            <w:r w:rsidRPr="00ED507A">
              <w:rPr>
                <w:rFonts w:cs="Arial"/>
                <w:szCs w:val="24"/>
              </w:rPr>
              <w:t>Rule 14(6) and (7) Reference</w:t>
            </w:r>
          </w:p>
        </w:tc>
        <w:tc>
          <w:tcPr>
            <w:tcW w:w="5380" w:type="dxa"/>
            <w:hideMark/>
          </w:tcPr>
          <w:p w:rsidR="00ED507A" w:rsidRPr="00ED507A" w:rsidRDefault="00ED507A" w:rsidP="00ED507A">
            <w:pPr>
              <w:spacing w:after="200"/>
              <w:rPr>
                <w:rFonts w:cs="Arial"/>
                <w:szCs w:val="24"/>
              </w:rPr>
            </w:pPr>
            <w:r w:rsidRPr="00ED507A">
              <w:rPr>
                <w:rFonts w:cs="Arial"/>
                <w:szCs w:val="24"/>
              </w:rPr>
              <w:t>It is unre</w:t>
            </w:r>
            <w:r w:rsidR="00850ED6">
              <w:rPr>
                <w:rFonts w:cs="Arial"/>
                <w:szCs w:val="24"/>
              </w:rPr>
              <w:t>a</w:t>
            </w:r>
            <w:r w:rsidRPr="00ED507A">
              <w:rPr>
                <w:rFonts w:cs="Arial"/>
                <w:szCs w:val="24"/>
              </w:rPr>
              <w:t xml:space="preserve">sonable to expect parents to understand the provisions relating to deemed refusals. </w:t>
            </w:r>
          </w:p>
        </w:tc>
        <w:tc>
          <w:tcPr>
            <w:tcW w:w="8012" w:type="dxa"/>
            <w:hideMark/>
          </w:tcPr>
          <w:p w:rsidR="00ED507A" w:rsidRPr="00ED507A" w:rsidRDefault="00ED507A" w:rsidP="00ED507A">
            <w:pPr>
              <w:spacing w:after="200"/>
              <w:rPr>
                <w:rFonts w:cs="Arial"/>
                <w:szCs w:val="24"/>
              </w:rPr>
            </w:pPr>
            <w:r w:rsidRPr="00ED507A">
              <w:rPr>
                <w:rFonts w:cs="Arial"/>
                <w:szCs w:val="24"/>
              </w:rPr>
              <w:t>Deemed provisions have been in place since 2005 and this provision works in practice. In addition, Enquire provide information on this.  In the event that a parent misses the deadline the Tribunal has provision under rule 29 to make exceptions to timescales (if appropriate).</w:t>
            </w:r>
          </w:p>
        </w:tc>
      </w:tr>
      <w:tr w:rsidR="00ED507A" w:rsidRPr="00ED507A" w:rsidTr="00ED507A">
        <w:trPr>
          <w:trHeight w:val="1020"/>
        </w:trPr>
        <w:tc>
          <w:tcPr>
            <w:tcW w:w="3040" w:type="dxa"/>
            <w:hideMark/>
          </w:tcPr>
          <w:p w:rsidR="00ED507A" w:rsidRPr="00ED507A" w:rsidRDefault="00ED507A" w:rsidP="00ED507A">
            <w:pPr>
              <w:spacing w:after="200"/>
              <w:rPr>
                <w:rFonts w:cs="Arial"/>
                <w:szCs w:val="24"/>
              </w:rPr>
            </w:pPr>
            <w:r w:rsidRPr="00ED507A">
              <w:rPr>
                <w:rFonts w:cs="Arial"/>
                <w:szCs w:val="24"/>
              </w:rPr>
              <w:lastRenderedPageBreak/>
              <w:t xml:space="preserve">Rule 16(4) (sufficiency of reasons for reference) </w:t>
            </w:r>
          </w:p>
        </w:tc>
        <w:tc>
          <w:tcPr>
            <w:tcW w:w="5380" w:type="dxa"/>
            <w:hideMark/>
          </w:tcPr>
          <w:p w:rsidR="00ED507A" w:rsidRPr="00ED507A" w:rsidRDefault="00ED507A" w:rsidP="00ED507A">
            <w:pPr>
              <w:spacing w:after="200"/>
              <w:rPr>
                <w:rFonts w:cs="Arial"/>
                <w:szCs w:val="24"/>
              </w:rPr>
            </w:pPr>
            <w:r w:rsidRPr="00ED507A">
              <w:rPr>
                <w:rFonts w:cs="Arial"/>
                <w:szCs w:val="24"/>
              </w:rPr>
              <w:t>add at the end of the rule "and the Tribunal has sent the further and better particulars to the authority"</w:t>
            </w:r>
          </w:p>
        </w:tc>
        <w:tc>
          <w:tcPr>
            <w:tcW w:w="8012" w:type="dxa"/>
            <w:hideMark/>
          </w:tcPr>
          <w:p w:rsidR="00ED507A" w:rsidRPr="00ED507A" w:rsidRDefault="00ED507A" w:rsidP="00850ED6">
            <w:pPr>
              <w:spacing w:after="200"/>
              <w:rPr>
                <w:rFonts w:cs="Arial"/>
                <w:szCs w:val="24"/>
              </w:rPr>
            </w:pPr>
            <w:r w:rsidRPr="00ED507A">
              <w:rPr>
                <w:rFonts w:cs="Arial"/>
                <w:szCs w:val="24"/>
              </w:rPr>
              <w:t>This amendment would interfere with the potential beginning of the case statement period.  Rule 17 provides for the case statement period inclu</w:t>
            </w:r>
            <w:r w:rsidR="00850ED6">
              <w:rPr>
                <w:rFonts w:cs="Arial"/>
                <w:szCs w:val="24"/>
              </w:rPr>
              <w:t>d</w:t>
            </w:r>
            <w:r w:rsidRPr="00ED507A">
              <w:rPr>
                <w:rFonts w:cs="Arial"/>
                <w:szCs w:val="24"/>
              </w:rPr>
              <w:t xml:space="preserve">ing its starting and concluding.  Amendment to 16(4) as suggested would just confuse this. </w:t>
            </w:r>
          </w:p>
        </w:tc>
      </w:tr>
      <w:tr w:rsidR="00ED507A" w:rsidRPr="00ED507A" w:rsidTr="00ED507A">
        <w:trPr>
          <w:trHeight w:val="765"/>
        </w:trPr>
        <w:tc>
          <w:tcPr>
            <w:tcW w:w="3040" w:type="dxa"/>
            <w:hideMark/>
          </w:tcPr>
          <w:p w:rsidR="00ED507A" w:rsidRPr="00ED507A" w:rsidRDefault="00ED507A" w:rsidP="00ED507A">
            <w:pPr>
              <w:spacing w:after="200"/>
              <w:rPr>
                <w:rFonts w:cs="Arial"/>
                <w:szCs w:val="24"/>
              </w:rPr>
            </w:pPr>
            <w:r w:rsidRPr="00ED507A">
              <w:rPr>
                <w:rFonts w:cs="Arial"/>
                <w:szCs w:val="24"/>
              </w:rPr>
              <w:t>Rule 17(2)(b) (Case statement period and statement of appellant's case)</w:t>
            </w:r>
          </w:p>
        </w:tc>
        <w:tc>
          <w:tcPr>
            <w:tcW w:w="5380" w:type="dxa"/>
            <w:hideMark/>
          </w:tcPr>
          <w:p w:rsidR="00ED507A" w:rsidRPr="00ED507A" w:rsidRDefault="00ED507A" w:rsidP="00ED507A">
            <w:pPr>
              <w:spacing w:after="200"/>
              <w:rPr>
                <w:rFonts w:cs="Arial"/>
                <w:szCs w:val="24"/>
              </w:rPr>
            </w:pPr>
            <w:r w:rsidRPr="00ED507A">
              <w:rPr>
                <w:rFonts w:cs="Arial"/>
                <w:szCs w:val="24"/>
              </w:rPr>
              <w:t>Should the words at the end of rule 17(2)(b) immediately after "working days" not apply to the whole of rule 17(2)</w:t>
            </w:r>
          </w:p>
        </w:tc>
        <w:tc>
          <w:tcPr>
            <w:tcW w:w="8012" w:type="dxa"/>
            <w:noWrap/>
            <w:hideMark/>
          </w:tcPr>
          <w:p w:rsidR="00ED507A" w:rsidRPr="00ED507A" w:rsidRDefault="00ED507A" w:rsidP="00ED507A">
            <w:pPr>
              <w:spacing w:after="200"/>
              <w:rPr>
                <w:rFonts w:cs="Arial"/>
                <w:szCs w:val="24"/>
              </w:rPr>
            </w:pPr>
            <w:r w:rsidRPr="00ED507A">
              <w:rPr>
                <w:rFonts w:cs="Arial"/>
                <w:szCs w:val="24"/>
              </w:rPr>
              <w:t xml:space="preserve">Amendment taken on board </w:t>
            </w:r>
          </w:p>
        </w:tc>
      </w:tr>
      <w:tr w:rsidR="00ED507A" w:rsidRPr="00ED507A" w:rsidTr="00ED507A">
        <w:trPr>
          <w:trHeight w:val="2040"/>
        </w:trPr>
        <w:tc>
          <w:tcPr>
            <w:tcW w:w="3040" w:type="dxa"/>
            <w:hideMark/>
          </w:tcPr>
          <w:p w:rsidR="00ED507A" w:rsidRPr="00ED507A" w:rsidRDefault="00ED507A" w:rsidP="00ED507A">
            <w:pPr>
              <w:spacing w:after="200"/>
              <w:rPr>
                <w:rFonts w:cs="Arial"/>
                <w:szCs w:val="24"/>
              </w:rPr>
            </w:pPr>
            <w:r w:rsidRPr="00ED507A">
              <w:rPr>
                <w:rFonts w:cs="Arial"/>
                <w:szCs w:val="24"/>
              </w:rPr>
              <w:t>Rule 19(5) (Response)</w:t>
            </w:r>
          </w:p>
        </w:tc>
        <w:tc>
          <w:tcPr>
            <w:tcW w:w="5380" w:type="dxa"/>
            <w:hideMark/>
          </w:tcPr>
          <w:p w:rsidR="00ED507A" w:rsidRPr="00ED507A" w:rsidRDefault="00ED507A" w:rsidP="00ED507A">
            <w:pPr>
              <w:spacing w:after="200"/>
              <w:rPr>
                <w:rFonts w:cs="Arial"/>
                <w:szCs w:val="24"/>
              </w:rPr>
            </w:pPr>
            <w:r w:rsidRPr="00ED507A">
              <w:rPr>
                <w:rFonts w:cs="Arial"/>
                <w:szCs w:val="24"/>
              </w:rPr>
              <w:t xml:space="preserve">Why is the test so high especially as such a high test doesn't apply to an amendment of the appellant's case statement? Time limit is very short for authority to respond - appellant has a period of 2 months to lodge reference and a further 20 working days to lodge written evidence. Exceptional circumstances should arise when information becomes newly available and that this should be tested by the tribunal. </w:t>
            </w:r>
          </w:p>
        </w:tc>
        <w:tc>
          <w:tcPr>
            <w:tcW w:w="8012" w:type="dxa"/>
            <w:hideMark/>
          </w:tcPr>
          <w:p w:rsidR="00ED507A" w:rsidRPr="00ED507A" w:rsidRDefault="00ED507A" w:rsidP="00ED507A">
            <w:pPr>
              <w:spacing w:after="200"/>
              <w:rPr>
                <w:rFonts w:cs="Arial"/>
                <w:szCs w:val="24"/>
              </w:rPr>
            </w:pPr>
            <w:r w:rsidRPr="00ED507A">
              <w:rPr>
                <w:rFonts w:cs="Arial"/>
                <w:szCs w:val="24"/>
              </w:rPr>
              <w:t xml:space="preserve">There is parity with the appellant's case via 17(4) and therefore no amendment is required. </w:t>
            </w:r>
          </w:p>
        </w:tc>
      </w:tr>
      <w:tr w:rsidR="00ED507A" w:rsidRPr="00ED507A" w:rsidTr="00ED507A">
        <w:trPr>
          <w:trHeight w:val="765"/>
        </w:trPr>
        <w:tc>
          <w:tcPr>
            <w:tcW w:w="3040" w:type="dxa"/>
            <w:hideMark/>
          </w:tcPr>
          <w:p w:rsidR="00ED507A" w:rsidRPr="00ED507A" w:rsidRDefault="00ED507A" w:rsidP="00ED507A">
            <w:pPr>
              <w:spacing w:after="200"/>
              <w:rPr>
                <w:rFonts w:cs="Arial"/>
                <w:szCs w:val="24"/>
              </w:rPr>
            </w:pPr>
            <w:r w:rsidRPr="00ED507A">
              <w:rPr>
                <w:rFonts w:cs="Arial"/>
                <w:szCs w:val="24"/>
              </w:rPr>
              <w:t>Rule 23 (Power for legal member to decide references)</w:t>
            </w:r>
          </w:p>
        </w:tc>
        <w:tc>
          <w:tcPr>
            <w:tcW w:w="5380" w:type="dxa"/>
            <w:hideMark/>
          </w:tcPr>
          <w:p w:rsidR="00ED507A" w:rsidRPr="00ED507A" w:rsidRDefault="00ED507A" w:rsidP="00ED507A">
            <w:pPr>
              <w:spacing w:after="200"/>
              <w:rPr>
                <w:rFonts w:cs="Arial"/>
                <w:szCs w:val="24"/>
              </w:rPr>
            </w:pPr>
            <w:r w:rsidRPr="00ED507A">
              <w:rPr>
                <w:rFonts w:cs="Arial"/>
                <w:szCs w:val="24"/>
              </w:rPr>
              <w:t xml:space="preserve">This provision allowing a legal member to sit alone needs clarification on the circumstances when this would take place and the procedure to be followed.   </w:t>
            </w:r>
          </w:p>
        </w:tc>
        <w:tc>
          <w:tcPr>
            <w:tcW w:w="8012" w:type="dxa"/>
            <w:hideMark/>
          </w:tcPr>
          <w:p w:rsidR="00ED507A" w:rsidRPr="00ED507A" w:rsidRDefault="00ED507A" w:rsidP="00ED507A">
            <w:pPr>
              <w:spacing w:after="200"/>
              <w:rPr>
                <w:rFonts w:cs="Arial"/>
                <w:szCs w:val="24"/>
              </w:rPr>
            </w:pPr>
            <w:r w:rsidRPr="00ED507A">
              <w:rPr>
                <w:rFonts w:cs="Arial"/>
                <w:szCs w:val="24"/>
              </w:rPr>
              <w:t xml:space="preserve"> This rule simply introduces the power and further clarification will be provided. </w:t>
            </w:r>
          </w:p>
        </w:tc>
      </w:tr>
      <w:tr w:rsidR="00ED507A" w:rsidRPr="00ED507A" w:rsidTr="00ED507A">
        <w:trPr>
          <w:trHeight w:val="510"/>
        </w:trPr>
        <w:tc>
          <w:tcPr>
            <w:tcW w:w="3040" w:type="dxa"/>
            <w:hideMark/>
          </w:tcPr>
          <w:p w:rsidR="00ED507A" w:rsidRPr="00ED507A" w:rsidRDefault="00ED507A" w:rsidP="00ED507A">
            <w:pPr>
              <w:spacing w:after="200"/>
              <w:rPr>
                <w:rFonts w:cs="Arial"/>
                <w:szCs w:val="24"/>
              </w:rPr>
            </w:pPr>
            <w:r w:rsidRPr="00ED507A">
              <w:rPr>
                <w:rFonts w:cs="Arial"/>
                <w:szCs w:val="24"/>
              </w:rPr>
              <w:t>Rule 23 (Power for legal member to decide references)</w:t>
            </w:r>
          </w:p>
        </w:tc>
        <w:tc>
          <w:tcPr>
            <w:tcW w:w="5380" w:type="dxa"/>
            <w:hideMark/>
          </w:tcPr>
          <w:p w:rsidR="00ED507A" w:rsidRPr="00ED507A" w:rsidRDefault="00ED507A" w:rsidP="00ED507A">
            <w:pPr>
              <w:spacing w:after="200"/>
              <w:rPr>
                <w:rFonts w:cs="Arial"/>
                <w:szCs w:val="24"/>
              </w:rPr>
            </w:pPr>
            <w:r w:rsidRPr="00ED507A">
              <w:rPr>
                <w:rFonts w:cs="Arial"/>
                <w:szCs w:val="24"/>
              </w:rPr>
              <w:t>Concern that capacity is not purely a legal issue and so may require other members to make a decision.</w:t>
            </w:r>
          </w:p>
        </w:tc>
        <w:tc>
          <w:tcPr>
            <w:tcW w:w="8012" w:type="dxa"/>
            <w:hideMark/>
          </w:tcPr>
          <w:p w:rsidR="00ED507A" w:rsidRPr="00ED507A" w:rsidRDefault="00ED507A" w:rsidP="00ED507A">
            <w:pPr>
              <w:spacing w:after="200"/>
              <w:rPr>
                <w:rFonts w:cs="Arial"/>
                <w:szCs w:val="24"/>
              </w:rPr>
            </w:pPr>
            <w:r w:rsidRPr="00ED507A">
              <w:rPr>
                <w:rFonts w:cs="Arial"/>
                <w:szCs w:val="24"/>
              </w:rPr>
              <w:t xml:space="preserve">Other members may be involved in decision if required </w:t>
            </w:r>
          </w:p>
        </w:tc>
      </w:tr>
      <w:tr w:rsidR="00ED507A" w:rsidRPr="00ED507A" w:rsidTr="00ED507A">
        <w:trPr>
          <w:trHeight w:val="1020"/>
        </w:trPr>
        <w:tc>
          <w:tcPr>
            <w:tcW w:w="3040" w:type="dxa"/>
            <w:hideMark/>
          </w:tcPr>
          <w:p w:rsidR="00ED507A" w:rsidRPr="00ED507A" w:rsidRDefault="00ED507A" w:rsidP="00ED507A">
            <w:pPr>
              <w:spacing w:after="200"/>
              <w:rPr>
                <w:rFonts w:cs="Arial"/>
                <w:szCs w:val="24"/>
              </w:rPr>
            </w:pPr>
            <w:r w:rsidRPr="00ED507A">
              <w:rPr>
                <w:rFonts w:cs="Arial"/>
                <w:szCs w:val="24"/>
              </w:rPr>
              <w:lastRenderedPageBreak/>
              <w:t>Rule 26 (Varying or setting aside of directions)</w:t>
            </w:r>
          </w:p>
        </w:tc>
        <w:tc>
          <w:tcPr>
            <w:tcW w:w="5380" w:type="dxa"/>
            <w:hideMark/>
          </w:tcPr>
          <w:p w:rsidR="00ED507A" w:rsidRPr="00ED507A" w:rsidRDefault="00ED507A" w:rsidP="00ED507A">
            <w:pPr>
              <w:spacing w:after="200"/>
              <w:rPr>
                <w:rFonts w:cs="Arial"/>
                <w:szCs w:val="24"/>
              </w:rPr>
            </w:pPr>
            <w:r w:rsidRPr="00ED507A">
              <w:rPr>
                <w:rFonts w:cs="Arial"/>
                <w:szCs w:val="24"/>
              </w:rPr>
              <w:t>Seeking the variation or setting aside of a direction at any time before hearing creates an uncertainty that is not compliant with the overriding objective. This ought to be timed.</w:t>
            </w:r>
          </w:p>
        </w:tc>
        <w:tc>
          <w:tcPr>
            <w:tcW w:w="8012" w:type="dxa"/>
            <w:hideMark/>
          </w:tcPr>
          <w:p w:rsidR="00ED507A" w:rsidRPr="00ED507A" w:rsidRDefault="00ED507A" w:rsidP="00ED507A">
            <w:pPr>
              <w:spacing w:after="200"/>
              <w:rPr>
                <w:rFonts w:cs="Arial"/>
                <w:szCs w:val="24"/>
              </w:rPr>
            </w:pPr>
            <w:r w:rsidRPr="00ED507A">
              <w:rPr>
                <w:rFonts w:cs="Arial"/>
                <w:szCs w:val="24"/>
              </w:rPr>
              <w:t>There are already time limits by virtue of other arrangements (for example during case statement period and prior to hearing.  Therefore, there is a timeframe in place.</w:t>
            </w:r>
          </w:p>
        </w:tc>
      </w:tr>
      <w:tr w:rsidR="00ED507A" w:rsidRPr="00ED507A" w:rsidTr="00ED507A">
        <w:trPr>
          <w:trHeight w:val="765"/>
        </w:trPr>
        <w:tc>
          <w:tcPr>
            <w:tcW w:w="3040" w:type="dxa"/>
            <w:hideMark/>
          </w:tcPr>
          <w:p w:rsidR="00ED507A" w:rsidRPr="00ED507A" w:rsidRDefault="00ED507A" w:rsidP="00ED507A">
            <w:pPr>
              <w:spacing w:after="200"/>
              <w:rPr>
                <w:rFonts w:cs="Arial"/>
                <w:szCs w:val="24"/>
              </w:rPr>
            </w:pPr>
            <w:r w:rsidRPr="00ED507A">
              <w:rPr>
                <w:rFonts w:cs="Arial"/>
                <w:szCs w:val="24"/>
              </w:rPr>
              <w:t>Rule 28(3) (Power to dismiss)</w:t>
            </w:r>
          </w:p>
        </w:tc>
        <w:tc>
          <w:tcPr>
            <w:tcW w:w="5380" w:type="dxa"/>
            <w:hideMark/>
          </w:tcPr>
          <w:p w:rsidR="00ED507A" w:rsidRPr="00ED507A" w:rsidRDefault="00ED507A" w:rsidP="00ED507A">
            <w:pPr>
              <w:spacing w:after="200"/>
              <w:rPr>
                <w:rFonts w:cs="Arial"/>
                <w:szCs w:val="24"/>
              </w:rPr>
            </w:pPr>
            <w:r w:rsidRPr="00ED507A">
              <w:rPr>
                <w:rFonts w:cs="Arial"/>
                <w:szCs w:val="24"/>
              </w:rPr>
              <w:t xml:space="preserve">Refers to 5 days to make representation. Section 25(3) refers to 10 days. The same period should be allowed in each instance to allow for consistency. </w:t>
            </w:r>
          </w:p>
        </w:tc>
        <w:tc>
          <w:tcPr>
            <w:tcW w:w="8012" w:type="dxa"/>
            <w:hideMark/>
          </w:tcPr>
          <w:p w:rsidR="00ED507A" w:rsidRPr="00ED507A" w:rsidRDefault="00ED507A" w:rsidP="00ED507A">
            <w:pPr>
              <w:spacing w:after="200"/>
              <w:rPr>
                <w:rFonts w:cs="Arial"/>
                <w:szCs w:val="24"/>
              </w:rPr>
            </w:pPr>
            <w:r w:rsidRPr="00ED507A">
              <w:rPr>
                <w:rFonts w:cs="Arial"/>
                <w:szCs w:val="24"/>
              </w:rPr>
              <w:t xml:space="preserve">This rule is drafted to allow any period above 5 days and therefore should be retained. </w:t>
            </w:r>
          </w:p>
        </w:tc>
      </w:tr>
      <w:tr w:rsidR="00ED507A" w:rsidRPr="00ED507A" w:rsidTr="00ED507A">
        <w:trPr>
          <w:trHeight w:val="510"/>
        </w:trPr>
        <w:tc>
          <w:tcPr>
            <w:tcW w:w="3040" w:type="dxa"/>
            <w:hideMark/>
          </w:tcPr>
          <w:p w:rsidR="00ED507A" w:rsidRPr="00ED507A" w:rsidRDefault="00ED507A" w:rsidP="00ED507A">
            <w:pPr>
              <w:spacing w:after="200"/>
              <w:rPr>
                <w:rFonts w:cs="Arial"/>
                <w:szCs w:val="24"/>
              </w:rPr>
            </w:pPr>
            <w:r w:rsidRPr="00ED507A">
              <w:rPr>
                <w:rFonts w:cs="Arial"/>
                <w:szCs w:val="24"/>
              </w:rPr>
              <w:t>Rule 29 (Extension of Time)</w:t>
            </w:r>
          </w:p>
        </w:tc>
        <w:tc>
          <w:tcPr>
            <w:tcW w:w="5380" w:type="dxa"/>
            <w:hideMark/>
          </w:tcPr>
          <w:p w:rsidR="00ED507A" w:rsidRPr="00ED507A" w:rsidRDefault="00ED507A" w:rsidP="00ED507A">
            <w:pPr>
              <w:spacing w:after="200"/>
              <w:rPr>
                <w:rFonts w:cs="Arial"/>
                <w:szCs w:val="24"/>
              </w:rPr>
            </w:pPr>
            <w:r w:rsidRPr="00ED507A">
              <w:rPr>
                <w:rFonts w:cs="Arial"/>
                <w:szCs w:val="24"/>
              </w:rPr>
              <w:t xml:space="preserve">Definition of "exceptional circumstances" would be helpful and the test of "exceptional circumstances" is too high. </w:t>
            </w:r>
          </w:p>
        </w:tc>
        <w:tc>
          <w:tcPr>
            <w:tcW w:w="8012" w:type="dxa"/>
            <w:hideMark/>
          </w:tcPr>
          <w:p w:rsidR="00ED507A" w:rsidRPr="00ED507A" w:rsidRDefault="00ED507A" w:rsidP="00ED507A">
            <w:pPr>
              <w:spacing w:after="200"/>
              <w:rPr>
                <w:rFonts w:cs="Arial"/>
                <w:szCs w:val="24"/>
              </w:rPr>
            </w:pPr>
            <w:r w:rsidRPr="00ED507A">
              <w:rPr>
                <w:rFonts w:cs="Arial"/>
                <w:szCs w:val="24"/>
              </w:rPr>
              <w:t xml:space="preserve">This comment would limit the opportunity to respond to the very wide and varied circumstances which may arise.  </w:t>
            </w:r>
          </w:p>
        </w:tc>
      </w:tr>
      <w:tr w:rsidR="00ED507A" w:rsidRPr="00ED507A" w:rsidTr="00ED507A">
        <w:trPr>
          <w:trHeight w:val="1020"/>
        </w:trPr>
        <w:tc>
          <w:tcPr>
            <w:tcW w:w="3040" w:type="dxa"/>
            <w:hideMark/>
          </w:tcPr>
          <w:p w:rsidR="00ED507A" w:rsidRPr="00ED507A" w:rsidRDefault="00ED507A" w:rsidP="00ED507A">
            <w:pPr>
              <w:spacing w:after="200"/>
              <w:rPr>
                <w:rFonts w:cs="Arial"/>
                <w:szCs w:val="24"/>
              </w:rPr>
            </w:pPr>
            <w:r w:rsidRPr="00ED507A">
              <w:rPr>
                <w:rFonts w:cs="Arial"/>
                <w:szCs w:val="24"/>
              </w:rPr>
              <w:t>Rule 36(6) Notice of Hearing</w:t>
            </w:r>
          </w:p>
        </w:tc>
        <w:tc>
          <w:tcPr>
            <w:tcW w:w="5380" w:type="dxa"/>
            <w:hideMark/>
          </w:tcPr>
          <w:p w:rsidR="00ED507A" w:rsidRPr="00ED507A" w:rsidRDefault="00ED507A" w:rsidP="00ED507A">
            <w:pPr>
              <w:spacing w:after="200"/>
              <w:rPr>
                <w:rFonts w:cs="Arial"/>
                <w:szCs w:val="24"/>
              </w:rPr>
            </w:pPr>
            <w:r w:rsidRPr="00ED507A">
              <w:rPr>
                <w:rFonts w:cs="Arial"/>
                <w:szCs w:val="24"/>
              </w:rPr>
              <w:t>Teachers can't be compelled to work in July so if a hearing can be heard in July this creates an issue. 10 days</w:t>
            </w:r>
            <w:r w:rsidR="00850ED6">
              <w:rPr>
                <w:rFonts w:cs="Arial"/>
                <w:szCs w:val="24"/>
              </w:rPr>
              <w:t>’</w:t>
            </w:r>
            <w:r w:rsidRPr="00ED507A">
              <w:rPr>
                <w:rFonts w:cs="Arial"/>
                <w:szCs w:val="24"/>
              </w:rPr>
              <w:t xml:space="preserve"> notice of a venue is likely to be difficult in practice. Rewording of ' or such reasonable time' may assist.</w:t>
            </w:r>
          </w:p>
        </w:tc>
        <w:tc>
          <w:tcPr>
            <w:tcW w:w="8012" w:type="dxa"/>
            <w:hideMark/>
          </w:tcPr>
          <w:p w:rsidR="00ED507A" w:rsidRPr="00ED507A" w:rsidRDefault="00ED507A" w:rsidP="00ED507A">
            <w:pPr>
              <w:spacing w:after="200"/>
              <w:rPr>
                <w:rFonts w:cs="Arial"/>
                <w:szCs w:val="24"/>
              </w:rPr>
            </w:pPr>
            <w:r w:rsidRPr="00ED507A">
              <w:rPr>
                <w:rFonts w:cs="Arial"/>
                <w:szCs w:val="24"/>
              </w:rPr>
              <w:t xml:space="preserve">The rule states not less than 10 days and in practice this notice is served well beyond 10 days. Therefore, no change is proposed. </w:t>
            </w:r>
          </w:p>
        </w:tc>
      </w:tr>
      <w:tr w:rsidR="00ED507A" w:rsidRPr="00ED507A" w:rsidTr="00ED507A">
        <w:trPr>
          <w:trHeight w:val="1020"/>
        </w:trPr>
        <w:tc>
          <w:tcPr>
            <w:tcW w:w="3040" w:type="dxa"/>
            <w:hideMark/>
          </w:tcPr>
          <w:p w:rsidR="00ED507A" w:rsidRPr="00ED507A" w:rsidRDefault="00ED507A" w:rsidP="00ED507A">
            <w:pPr>
              <w:spacing w:after="200"/>
              <w:rPr>
                <w:rFonts w:cs="Arial"/>
                <w:szCs w:val="24"/>
              </w:rPr>
            </w:pPr>
            <w:r w:rsidRPr="00ED507A">
              <w:rPr>
                <w:rFonts w:cs="Arial"/>
                <w:szCs w:val="24"/>
              </w:rPr>
              <w:t>Rule 37 (Power to decide reference without hearing)</w:t>
            </w:r>
          </w:p>
        </w:tc>
        <w:tc>
          <w:tcPr>
            <w:tcW w:w="5380" w:type="dxa"/>
            <w:hideMark/>
          </w:tcPr>
          <w:p w:rsidR="00ED507A" w:rsidRPr="00ED507A" w:rsidRDefault="00ED507A" w:rsidP="00ED507A">
            <w:pPr>
              <w:spacing w:after="200"/>
              <w:rPr>
                <w:rFonts w:cs="Arial"/>
                <w:szCs w:val="24"/>
              </w:rPr>
            </w:pPr>
            <w:r w:rsidRPr="00ED507A">
              <w:rPr>
                <w:rFonts w:cs="Arial"/>
                <w:szCs w:val="24"/>
              </w:rPr>
              <w:t xml:space="preserve">Rule should be qualified to say that the matter may be decided by a legal member sitting alone or with other members as there may be occasions that arise requiring the expertise of members. </w:t>
            </w:r>
          </w:p>
        </w:tc>
        <w:tc>
          <w:tcPr>
            <w:tcW w:w="8012" w:type="dxa"/>
            <w:hideMark/>
          </w:tcPr>
          <w:p w:rsidR="00ED507A" w:rsidRPr="00ED507A" w:rsidRDefault="00ED507A" w:rsidP="00ED507A">
            <w:pPr>
              <w:spacing w:after="200"/>
              <w:rPr>
                <w:rFonts w:cs="Arial"/>
                <w:szCs w:val="24"/>
              </w:rPr>
            </w:pPr>
            <w:r w:rsidRPr="00ED507A">
              <w:rPr>
                <w:rFonts w:cs="Arial"/>
                <w:szCs w:val="24"/>
              </w:rPr>
              <w:t xml:space="preserve">Rules already in place and applicable for the use of evidence and witnesses if needed.  </w:t>
            </w:r>
          </w:p>
        </w:tc>
      </w:tr>
      <w:tr w:rsidR="00ED507A" w:rsidRPr="00ED507A" w:rsidTr="00ED507A">
        <w:trPr>
          <w:trHeight w:val="4080"/>
        </w:trPr>
        <w:tc>
          <w:tcPr>
            <w:tcW w:w="3040" w:type="dxa"/>
            <w:hideMark/>
          </w:tcPr>
          <w:p w:rsidR="00ED507A" w:rsidRPr="00ED507A" w:rsidRDefault="00ED507A" w:rsidP="00ED507A">
            <w:pPr>
              <w:spacing w:after="200"/>
              <w:rPr>
                <w:rFonts w:cs="Arial"/>
                <w:szCs w:val="24"/>
              </w:rPr>
            </w:pPr>
            <w:r w:rsidRPr="00ED507A">
              <w:rPr>
                <w:rFonts w:cs="Arial"/>
                <w:szCs w:val="24"/>
              </w:rPr>
              <w:lastRenderedPageBreak/>
              <w:t>Rule 44 (Views of the Child)</w:t>
            </w:r>
          </w:p>
        </w:tc>
        <w:tc>
          <w:tcPr>
            <w:tcW w:w="5380" w:type="dxa"/>
            <w:hideMark/>
          </w:tcPr>
          <w:p w:rsidR="00ED507A" w:rsidRPr="00ED507A" w:rsidRDefault="00ED507A" w:rsidP="00850ED6">
            <w:pPr>
              <w:spacing w:after="200"/>
              <w:rPr>
                <w:rFonts w:cs="Arial"/>
                <w:szCs w:val="24"/>
              </w:rPr>
            </w:pPr>
            <w:r w:rsidRPr="00ED507A">
              <w:rPr>
                <w:rFonts w:cs="Arial"/>
                <w:szCs w:val="24"/>
              </w:rPr>
              <w:t>It appears that the Tribunal is under the obligation always to seek the views of the child irrespective of whether the child has capacity. Wording is too strong. Phrase "for whose school education an education authority are responsible" defined in section 29(3) of 2004 Act. If the definition in the 2004 Act applies then it would mean the duty to seek the views of the child would not apply to all cases. The rule is not explicit about the subject matter of the views of the child - should it be made clear this refers to any reference. Is it intended to restrict application of rule 44 to parental references only or will it include references made by children aged 12-15. Rule could be more explicit on how the views are to be taken. No equivalent to rule 44 in Part 3 of the rules (disability claims). Should there be refe</w:t>
            </w:r>
            <w:r w:rsidR="00850ED6">
              <w:rPr>
                <w:rFonts w:cs="Arial"/>
                <w:szCs w:val="24"/>
              </w:rPr>
              <w:t>re</w:t>
            </w:r>
            <w:r w:rsidRPr="00ED507A">
              <w:rPr>
                <w:rFonts w:cs="Arial"/>
                <w:szCs w:val="24"/>
              </w:rPr>
              <w:t xml:space="preserve">nce to capacity? Clearer guidance required on obtaining the views of the child. </w:t>
            </w:r>
          </w:p>
        </w:tc>
        <w:tc>
          <w:tcPr>
            <w:tcW w:w="8012" w:type="dxa"/>
            <w:hideMark/>
          </w:tcPr>
          <w:p w:rsidR="00ED507A" w:rsidRPr="00ED507A" w:rsidRDefault="00ED507A" w:rsidP="00ED507A">
            <w:pPr>
              <w:spacing w:after="200"/>
              <w:rPr>
                <w:rFonts w:cs="Arial"/>
                <w:szCs w:val="24"/>
              </w:rPr>
            </w:pPr>
            <w:r w:rsidRPr="00ED507A">
              <w:rPr>
                <w:rFonts w:cs="Arial"/>
                <w:szCs w:val="24"/>
              </w:rPr>
              <w:t>The rule has been retained as drafted as the requirement is to attempt to gain the views.  Given that the requirement is contained within the rules it may reasonably be assumed that it relates to the matters being brought before the Tribunal rather than any other matters.  Parental references are specified as it is assumed that the child will have expressed a view if they are making the references themselves by virtue of the reference if not explicit</w:t>
            </w:r>
            <w:r w:rsidR="00850ED6">
              <w:rPr>
                <w:rFonts w:cs="Arial"/>
                <w:szCs w:val="24"/>
              </w:rPr>
              <w:t>l</w:t>
            </w:r>
            <w:r w:rsidRPr="00ED507A">
              <w:rPr>
                <w:rFonts w:cs="Arial"/>
                <w:szCs w:val="24"/>
              </w:rPr>
              <w:t>y. There should not be a reference to capacity as capacity is presumed for claims and is therefore not relevant.</w:t>
            </w:r>
          </w:p>
        </w:tc>
      </w:tr>
      <w:tr w:rsidR="00ED507A" w:rsidRPr="00ED507A" w:rsidTr="00ED507A">
        <w:trPr>
          <w:trHeight w:val="765"/>
        </w:trPr>
        <w:tc>
          <w:tcPr>
            <w:tcW w:w="3040" w:type="dxa"/>
            <w:hideMark/>
          </w:tcPr>
          <w:p w:rsidR="00ED507A" w:rsidRPr="00ED507A" w:rsidRDefault="00ED507A" w:rsidP="00ED507A">
            <w:pPr>
              <w:spacing w:after="200"/>
              <w:rPr>
                <w:rFonts w:cs="Arial"/>
                <w:szCs w:val="24"/>
              </w:rPr>
            </w:pPr>
            <w:r w:rsidRPr="00ED507A">
              <w:rPr>
                <w:rFonts w:cs="Arial"/>
                <w:szCs w:val="24"/>
              </w:rPr>
              <w:t>Rule 47 (Failure of parties to attend)</w:t>
            </w:r>
          </w:p>
        </w:tc>
        <w:tc>
          <w:tcPr>
            <w:tcW w:w="5380" w:type="dxa"/>
            <w:hideMark/>
          </w:tcPr>
          <w:p w:rsidR="00ED507A" w:rsidRPr="00ED507A" w:rsidRDefault="00ED507A" w:rsidP="00ED507A">
            <w:pPr>
              <w:spacing w:after="200"/>
              <w:rPr>
                <w:rFonts w:cs="Arial"/>
                <w:szCs w:val="24"/>
              </w:rPr>
            </w:pPr>
            <w:r w:rsidRPr="00ED507A">
              <w:rPr>
                <w:rFonts w:cs="Arial"/>
                <w:szCs w:val="24"/>
              </w:rPr>
              <w:t xml:space="preserve">Expenses should be made if there is a failure to attend. </w:t>
            </w:r>
          </w:p>
        </w:tc>
        <w:tc>
          <w:tcPr>
            <w:tcW w:w="8012" w:type="dxa"/>
            <w:hideMark/>
          </w:tcPr>
          <w:p w:rsidR="00ED507A" w:rsidRPr="00ED507A" w:rsidRDefault="00ED507A" w:rsidP="00ED507A">
            <w:pPr>
              <w:spacing w:after="200"/>
              <w:rPr>
                <w:rFonts w:cs="Arial"/>
                <w:szCs w:val="24"/>
              </w:rPr>
            </w:pPr>
            <w:r w:rsidRPr="00ED507A">
              <w:rPr>
                <w:rFonts w:cs="Arial"/>
                <w:szCs w:val="24"/>
              </w:rPr>
              <w:t xml:space="preserve">Expenses provisions allow for expenses to be awarded if a party has put another party to unnecessary expense. Tribunal could use this provision. </w:t>
            </w:r>
          </w:p>
        </w:tc>
      </w:tr>
      <w:tr w:rsidR="00ED507A" w:rsidRPr="00ED507A" w:rsidTr="00ED507A">
        <w:trPr>
          <w:trHeight w:val="765"/>
        </w:trPr>
        <w:tc>
          <w:tcPr>
            <w:tcW w:w="3040" w:type="dxa"/>
            <w:hideMark/>
          </w:tcPr>
          <w:p w:rsidR="00ED507A" w:rsidRPr="00ED507A" w:rsidRDefault="00ED507A" w:rsidP="00ED507A">
            <w:pPr>
              <w:spacing w:after="200"/>
              <w:rPr>
                <w:rFonts w:cs="Arial"/>
                <w:szCs w:val="24"/>
              </w:rPr>
            </w:pPr>
            <w:r w:rsidRPr="00ED507A">
              <w:rPr>
                <w:rFonts w:cs="Arial"/>
                <w:szCs w:val="24"/>
              </w:rPr>
              <w:t>Rule 48(3) and Rule 93(3) (Decisions on references)/ (Decisions on claims)</w:t>
            </w:r>
          </w:p>
        </w:tc>
        <w:tc>
          <w:tcPr>
            <w:tcW w:w="5380" w:type="dxa"/>
            <w:hideMark/>
          </w:tcPr>
          <w:p w:rsidR="00ED507A" w:rsidRPr="00ED507A" w:rsidRDefault="00ED507A" w:rsidP="00ED507A">
            <w:pPr>
              <w:spacing w:after="200"/>
              <w:rPr>
                <w:rFonts w:cs="Arial"/>
                <w:szCs w:val="24"/>
              </w:rPr>
            </w:pPr>
            <w:r w:rsidRPr="00ED507A">
              <w:rPr>
                <w:rFonts w:cs="Arial"/>
                <w:szCs w:val="24"/>
              </w:rPr>
              <w:t xml:space="preserve">Refers to an automatic right of appeal against the </w:t>
            </w:r>
            <w:proofErr w:type="spellStart"/>
            <w:r w:rsidRPr="00ED507A">
              <w:rPr>
                <w:rFonts w:cs="Arial"/>
                <w:szCs w:val="24"/>
              </w:rPr>
              <w:t>FTT's</w:t>
            </w:r>
            <w:proofErr w:type="spellEnd"/>
            <w:r w:rsidRPr="00ED507A">
              <w:rPr>
                <w:rFonts w:cs="Arial"/>
                <w:szCs w:val="24"/>
              </w:rPr>
              <w:t xml:space="preserve"> decision which is at odds with Rule 9. No time</w:t>
            </w:r>
            <w:r w:rsidR="00850ED6">
              <w:rPr>
                <w:rFonts w:cs="Arial"/>
                <w:szCs w:val="24"/>
              </w:rPr>
              <w:t xml:space="preserve"> </w:t>
            </w:r>
            <w:r w:rsidRPr="00ED507A">
              <w:rPr>
                <w:rFonts w:cs="Arial"/>
                <w:szCs w:val="24"/>
              </w:rPr>
              <w:t xml:space="preserve">limit for tribunal to issue decision. </w:t>
            </w:r>
          </w:p>
        </w:tc>
        <w:tc>
          <w:tcPr>
            <w:tcW w:w="8012" w:type="dxa"/>
            <w:hideMark/>
          </w:tcPr>
          <w:p w:rsidR="00ED507A" w:rsidRPr="00ED507A" w:rsidRDefault="00ED507A" w:rsidP="00ED507A">
            <w:pPr>
              <w:spacing w:after="200"/>
              <w:rPr>
                <w:rFonts w:cs="Arial"/>
                <w:szCs w:val="24"/>
              </w:rPr>
            </w:pPr>
            <w:r w:rsidRPr="00ED507A">
              <w:rPr>
                <w:rFonts w:cs="Arial"/>
                <w:szCs w:val="24"/>
              </w:rPr>
              <w:t xml:space="preserve">Comment rejected as it is clear enough as it states the FTT shall send notice about the circumstances in which there is a right of appeal to </w:t>
            </w:r>
            <w:proofErr w:type="spellStart"/>
            <w:r w:rsidRPr="00ED507A">
              <w:rPr>
                <w:rFonts w:cs="Arial"/>
                <w:szCs w:val="24"/>
              </w:rPr>
              <w:t>UT.</w:t>
            </w:r>
            <w:proofErr w:type="spellEnd"/>
            <w:r w:rsidRPr="00ED507A">
              <w:rPr>
                <w:rFonts w:cs="Arial"/>
                <w:szCs w:val="24"/>
              </w:rPr>
              <w:t xml:space="preserve"> </w:t>
            </w:r>
          </w:p>
        </w:tc>
      </w:tr>
      <w:tr w:rsidR="00ED507A" w:rsidRPr="00ED507A" w:rsidTr="00ED507A">
        <w:trPr>
          <w:trHeight w:val="1155"/>
        </w:trPr>
        <w:tc>
          <w:tcPr>
            <w:tcW w:w="3040" w:type="dxa"/>
            <w:hideMark/>
          </w:tcPr>
          <w:p w:rsidR="00ED507A" w:rsidRPr="00ED507A" w:rsidRDefault="00ED507A" w:rsidP="00ED507A">
            <w:pPr>
              <w:spacing w:after="200"/>
              <w:rPr>
                <w:rFonts w:cs="Arial"/>
                <w:szCs w:val="24"/>
              </w:rPr>
            </w:pPr>
            <w:r w:rsidRPr="00ED507A">
              <w:rPr>
                <w:rFonts w:cs="Arial"/>
                <w:szCs w:val="24"/>
              </w:rPr>
              <w:lastRenderedPageBreak/>
              <w:t>Rule 66 (Response)</w:t>
            </w:r>
          </w:p>
        </w:tc>
        <w:tc>
          <w:tcPr>
            <w:tcW w:w="5380" w:type="dxa"/>
            <w:hideMark/>
          </w:tcPr>
          <w:p w:rsidR="00ED507A" w:rsidRPr="00ED507A" w:rsidRDefault="00ED507A" w:rsidP="00ED507A">
            <w:pPr>
              <w:spacing w:after="200"/>
              <w:rPr>
                <w:rFonts w:cs="Arial"/>
                <w:szCs w:val="24"/>
              </w:rPr>
            </w:pPr>
            <w:r w:rsidRPr="00ED507A">
              <w:rPr>
                <w:rFonts w:cs="Arial"/>
                <w:szCs w:val="24"/>
              </w:rPr>
              <w:t xml:space="preserve">Time limit is very short for authority to respond - appellant has a period of 2 months to lodge reference and a further 20 working days to lodge written evidence. </w:t>
            </w:r>
          </w:p>
        </w:tc>
        <w:tc>
          <w:tcPr>
            <w:tcW w:w="8012" w:type="dxa"/>
            <w:hideMark/>
          </w:tcPr>
          <w:p w:rsidR="00ED507A" w:rsidRPr="00ED507A" w:rsidRDefault="00ED507A" w:rsidP="00ED507A">
            <w:pPr>
              <w:spacing w:after="200"/>
              <w:rPr>
                <w:rFonts w:cs="Arial"/>
                <w:szCs w:val="24"/>
              </w:rPr>
            </w:pPr>
            <w:r w:rsidRPr="00ED507A">
              <w:rPr>
                <w:rFonts w:cs="Arial"/>
                <w:szCs w:val="24"/>
              </w:rPr>
              <w:t>The case statement period is 30 days in total - and applies equally to both parties.  Therefore no change is proposed.  Nothing can be considered if there is not a case made initially therefore the timings cited in the comments should be disregarded.</w:t>
            </w:r>
          </w:p>
        </w:tc>
      </w:tr>
      <w:tr w:rsidR="00ED507A" w:rsidRPr="00ED507A" w:rsidTr="00ED507A">
        <w:trPr>
          <w:trHeight w:val="1530"/>
        </w:trPr>
        <w:tc>
          <w:tcPr>
            <w:tcW w:w="3040" w:type="dxa"/>
            <w:hideMark/>
          </w:tcPr>
          <w:p w:rsidR="00ED507A" w:rsidRPr="00ED507A" w:rsidRDefault="00ED507A" w:rsidP="00ED507A">
            <w:pPr>
              <w:spacing w:after="200"/>
              <w:rPr>
                <w:rFonts w:cs="Arial"/>
                <w:b/>
                <w:szCs w:val="24"/>
              </w:rPr>
            </w:pPr>
            <w:r w:rsidRPr="00ED507A">
              <w:rPr>
                <w:rFonts w:cs="Arial"/>
                <w:szCs w:val="24"/>
              </w:rPr>
              <w:t>Rule 84(7)(a) (Attendance at hearings</w:t>
            </w:r>
            <w:r w:rsidRPr="00ED507A">
              <w:rPr>
                <w:rFonts w:cs="Arial"/>
                <w:b/>
                <w:szCs w:val="24"/>
              </w:rPr>
              <w:t>)</w:t>
            </w:r>
          </w:p>
        </w:tc>
        <w:tc>
          <w:tcPr>
            <w:tcW w:w="5380" w:type="dxa"/>
            <w:hideMark/>
          </w:tcPr>
          <w:p w:rsidR="00ED507A" w:rsidRPr="00ED507A" w:rsidRDefault="00ED507A" w:rsidP="00ED507A">
            <w:pPr>
              <w:spacing w:after="200"/>
              <w:rPr>
                <w:rFonts w:cs="Arial"/>
                <w:szCs w:val="24"/>
              </w:rPr>
            </w:pPr>
            <w:r w:rsidRPr="00ED507A">
              <w:rPr>
                <w:rFonts w:cs="Arial"/>
                <w:szCs w:val="24"/>
              </w:rPr>
              <w:t>Clarity sought as to whether it is necessary due to the opening wording to this Rule?</w:t>
            </w:r>
          </w:p>
        </w:tc>
        <w:tc>
          <w:tcPr>
            <w:tcW w:w="8012" w:type="dxa"/>
            <w:hideMark/>
          </w:tcPr>
          <w:p w:rsidR="00ED507A" w:rsidRPr="00ED507A" w:rsidRDefault="00ED507A" w:rsidP="00ED507A">
            <w:pPr>
              <w:spacing w:after="200"/>
              <w:rPr>
                <w:rFonts w:cs="Arial"/>
                <w:szCs w:val="24"/>
              </w:rPr>
            </w:pPr>
            <w:r w:rsidRPr="00ED507A">
              <w:rPr>
                <w:rFonts w:cs="Arial"/>
                <w:szCs w:val="24"/>
              </w:rPr>
              <w:t>This rule brings clarity to who may or may not attend a hearing.  This is likely to be a carefully balanced judgement based on individual circumstances - it is not enough to rely on whether someone is likely to cause disruption or to prevent ev</w:t>
            </w:r>
            <w:r w:rsidR="00850ED6">
              <w:rPr>
                <w:rFonts w:cs="Arial"/>
                <w:szCs w:val="24"/>
              </w:rPr>
              <w:t>i</w:t>
            </w:r>
            <w:r w:rsidRPr="00ED507A">
              <w:rPr>
                <w:rFonts w:cs="Arial"/>
                <w:szCs w:val="24"/>
              </w:rPr>
              <w:t>dence being heard (for example a media representative may do neither - but a hearing may not wish that type of representative to be present.</w:t>
            </w:r>
          </w:p>
        </w:tc>
      </w:tr>
      <w:tr w:rsidR="00ED507A" w:rsidRPr="00ED507A" w:rsidTr="00ED507A">
        <w:trPr>
          <w:trHeight w:val="765"/>
        </w:trPr>
        <w:tc>
          <w:tcPr>
            <w:tcW w:w="3040" w:type="dxa"/>
            <w:hideMark/>
          </w:tcPr>
          <w:p w:rsidR="00ED507A" w:rsidRPr="00ED507A" w:rsidRDefault="00ED507A" w:rsidP="00ED507A">
            <w:pPr>
              <w:spacing w:after="200"/>
              <w:rPr>
                <w:rFonts w:cs="Arial"/>
                <w:szCs w:val="24"/>
              </w:rPr>
            </w:pPr>
            <w:r w:rsidRPr="00ED507A">
              <w:rPr>
                <w:rFonts w:cs="Arial"/>
                <w:szCs w:val="24"/>
              </w:rPr>
              <w:t>Rule 85(2) (Conduct of the hearing)</w:t>
            </w:r>
          </w:p>
        </w:tc>
        <w:tc>
          <w:tcPr>
            <w:tcW w:w="5380" w:type="dxa"/>
            <w:hideMark/>
          </w:tcPr>
          <w:p w:rsidR="00ED507A" w:rsidRPr="00ED507A" w:rsidRDefault="00ED507A" w:rsidP="00ED507A">
            <w:pPr>
              <w:spacing w:after="200"/>
              <w:rPr>
                <w:rFonts w:cs="Arial"/>
                <w:szCs w:val="24"/>
              </w:rPr>
            </w:pPr>
            <w:r w:rsidRPr="00ED507A">
              <w:rPr>
                <w:rFonts w:cs="Arial"/>
                <w:szCs w:val="24"/>
              </w:rPr>
              <w:t xml:space="preserve">At the end of line for the words "and authority" should be added immediately after the word "claimant" to give parity to parties. </w:t>
            </w:r>
          </w:p>
        </w:tc>
        <w:tc>
          <w:tcPr>
            <w:tcW w:w="8012" w:type="dxa"/>
            <w:hideMark/>
          </w:tcPr>
          <w:p w:rsidR="00ED507A" w:rsidRPr="00ED507A" w:rsidRDefault="00ED507A" w:rsidP="00ED507A">
            <w:pPr>
              <w:spacing w:after="200"/>
              <w:rPr>
                <w:rFonts w:cs="Arial"/>
                <w:szCs w:val="24"/>
              </w:rPr>
            </w:pPr>
            <w:r w:rsidRPr="00ED507A">
              <w:rPr>
                <w:rFonts w:cs="Arial"/>
                <w:szCs w:val="24"/>
              </w:rPr>
              <w:t xml:space="preserve"> There is already parity as there are 5 witnesses in addition to the claimant (and the lead LA representative).  </w:t>
            </w:r>
          </w:p>
        </w:tc>
      </w:tr>
      <w:tr w:rsidR="00ED507A" w:rsidRPr="00ED507A" w:rsidTr="00ED507A">
        <w:trPr>
          <w:trHeight w:val="1785"/>
        </w:trPr>
        <w:tc>
          <w:tcPr>
            <w:tcW w:w="3040" w:type="dxa"/>
            <w:hideMark/>
          </w:tcPr>
          <w:p w:rsidR="00ED507A" w:rsidRPr="00ED507A" w:rsidRDefault="00ED507A" w:rsidP="00ED507A">
            <w:pPr>
              <w:spacing w:after="200"/>
              <w:rPr>
                <w:rFonts w:cs="Arial"/>
                <w:b/>
                <w:szCs w:val="24"/>
              </w:rPr>
            </w:pPr>
            <w:r w:rsidRPr="00ED507A">
              <w:rPr>
                <w:rFonts w:cs="Arial"/>
                <w:szCs w:val="24"/>
              </w:rPr>
              <w:t xml:space="preserve">Rule 89 (Children) </w:t>
            </w:r>
          </w:p>
        </w:tc>
        <w:tc>
          <w:tcPr>
            <w:tcW w:w="5380" w:type="dxa"/>
            <w:hideMark/>
          </w:tcPr>
          <w:p w:rsidR="00ED507A" w:rsidRPr="00ED507A" w:rsidRDefault="00ED507A" w:rsidP="00ED507A">
            <w:pPr>
              <w:spacing w:after="200"/>
              <w:rPr>
                <w:rFonts w:cs="Arial"/>
                <w:szCs w:val="24"/>
              </w:rPr>
            </w:pPr>
            <w:r w:rsidRPr="00ED507A">
              <w:rPr>
                <w:rFonts w:cs="Arial"/>
                <w:szCs w:val="24"/>
              </w:rPr>
              <w:t xml:space="preserve">Reference to a child giving evidence. At present in reference cases the tribunal speaks with the child and shares those views with parties as opposed to formal giving evidence. A similar flexibility should be used in these cases. Child should be afforded support by an independent advocacy worker to obtain those views and for the cost of that to be met by the authority. </w:t>
            </w:r>
          </w:p>
        </w:tc>
        <w:tc>
          <w:tcPr>
            <w:tcW w:w="8012" w:type="dxa"/>
            <w:hideMark/>
          </w:tcPr>
          <w:p w:rsidR="00ED507A" w:rsidRPr="00ED507A" w:rsidRDefault="00ED507A" w:rsidP="00ED507A">
            <w:pPr>
              <w:spacing w:after="200"/>
              <w:rPr>
                <w:rFonts w:cs="Arial"/>
                <w:szCs w:val="24"/>
              </w:rPr>
            </w:pPr>
            <w:r w:rsidRPr="00ED507A">
              <w:rPr>
                <w:rFonts w:cs="Arial"/>
                <w:szCs w:val="24"/>
              </w:rPr>
              <w:t xml:space="preserve">This is a function of the children's service and does not need to be specified in rules. </w:t>
            </w:r>
          </w:p>
        </w:tc>
      </w:tr>
    </w:tbl>
    <w:p w:rsidR="00ED507A" w:rsidRPr="00ED507A" w:rsidRDefault="00ED507A" w:rsidP="00ED507A">
      <w:pPr>
        <w:spacing w:after="200"/>
        <w:rPr>
          <w:rFonts w:cs="Arial"/>
          <w:b/>
          <w:szCs w:val="24"/>
        </w:rPr>
      </w:pPr>
    </w:p>
    <w:sectPr w:rsidR="00ED507A" w:rsidRPr="00ED507A" w:rsidSect="00ED507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0DB" w:rsidRDefault="00FA60DB" w:rsidP="00295E65">
      <w:pPr>
        <w:spacing w:after="0" w:line="240" w:lineRule="auto"/>
      </w:pPr>
      <w:r>
        <w:separator/>
      </w:r>
    </w:p>
  </w:endnote>
  <w:endnote w:type="continuationSeparator" w:id="0">
    <w:p w:rsidR="00FA60DB" w:rsidRDefault="00FA60DB" w:rsidP="0029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698912"/>
      <w:docPartObj>
        <w:docPartGallery w:val="Page Numbers (Bottom of Page)"/>
        <w:docPartUnique/>
      </w:docPartObj>
    </w:sdtPr>
    <w:sdtEndPr>
      <w:rPr>
        <w:noProof/>
      </w:rPr>
    </w:sdtEndPr>
    <w:sdtContent>
      <w:p w:rsidR="00074F14" w:rsidRDefault="00074F14">
        <w:pPr>
          <w:pStyle w:val="Footer"/>
          <w:jc w:val="center"/>
        </w:pPr>
        <w:r>
          <w:fldChar w:fldCharType="begin"/>
        </w:r>
        <w:r>
          <w:instrText xml:space="preserve"> PAGE   \* MERGEFORMAT </w:instrText>
        </w:r>
        <w:r>
          <w:fldChar w:fldCharType="separate"/>
        </w:r>
        <w:r w:rsidR="0017646D">
          <w:rPr>
            <w:noProof/>
          </w:rPr>
          <w:t>10</w:t>
        </w:r>
        <w:r>
          <w:rPr>
            <w:noProof/>
          </w:rPr>
          <w:fldChar w:fldCharType="end"/>
        </w:r>
      </w:p>
    </w:sdtContent>
  </w:sdt>
  <w:p w:rsidR="00074F14" w:rsidRDefault="00074F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0DB" w:rsidRDefault="00FA60DB" w:rsidP="00295E65">
      <w:pPr>
        <w:spacing w:after="0" w:line="240" w:lineRule="auto"/>
      </w:pPr>
      <w:r>
        <w:separator/>
      </w:r>
    </w:p>
  </w:footnote>
  <w:footnote w:type="continuationSeparator" w:id="0">
    <w:p w:rsidR="00FA60DB" w:rsidRDefault="00FA60DB" w:rsidP="00295E65">
      <w:pPr>
        <w:spacing w:after="0" w:line="240" w:lineRule="auto"/>
      </w:pPr>
      <w:r>
        <w:continuationSeparator/>
      </w:r>
    </w:p>
  </w:footnote>
  <w:footnote w:id="1">
    <w:p w:rsidR="000F6C5E" w:rsidRDefault="000F6C5E">
      <w:pPr>
        <w:pStyle w:val="FootnoteText"/>
      </w:pPr>
      <w:r>
        <w:rPr>
          <w:rStyle w:val="FootnoteReference"/>
        </w:rPr>
        <w:footnoteRef/>
      </w:r>
      <w:r>
        <w:t xml:space="preserve"> </w:t>
      </w:r>
      <w:hyperlink r:id="rId1" w:history="1">
        <w:r w:rsidRPr="008A79DF">
          <w:rPr>
            <w:rStyle w:val="Hyperlink"/>
          </w:rPr>
          <w:t>https://consult.scotland.gov.uk/tribunals-administrative-justice-policy/tribunals-scotland-act-2014-draft-regulations/</w:t>
        </w:r>
      </w:hyperlink>
    </w:p>
    <w:p w:rsidR="000F6C5E" w:rsidRDefault="000F6C5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D12ABF54"/>
    <w:lvl w:ilvl="0">
      <w:start w:val="1"/>
      <w:numFmt w:val="decimal"/>
      <w:lvlText w:val="%1."/>
      <w:legacy w:legacy="1" w:legacySpace="288" w:legacyIndent="720"/>
      <w:lvlJc w:val="left"/>
      <w:pPr>
        <w:ind w:left="0" w:firstLine="425"/>
      </w:pPr>
    </w:lvl>
    <w:lvl w:ilvl="1">
      <w:start w:val="1"/>
      <w:numFmt w:val="decimal"/>
      <w:lvlText w:val="%1.%2"/>
      <w:legacy w:legacy="1" w:legacySpace="284" w:legacyIndent="720"/>
      <w:lvlJc w:val="left"/>
      <w:pPr>
        <w:ind w:left="0" w:firstLine="425"/>
      </w:pPr>
    </w:lvl>
    <w:lvl w:ilvl="2">
      <w:start w:val="1"/>
      <w:numFmt w:val="decimal"/>
      <w:pStyle w:val="Heading3"/>
      <w:lvlText w:val="%1.%2.%3"/>
      <w:legacy w:legacy="1" w:legacySpace="284" w:legacyIndent="720"/>
      <w:lvlJc w:val="left"/>
      <w:pPr>
        <w:ind w:left="0" w:firstLine="425"/>
      </w:pPr>
    </w:lvl>
    <w:lvl w:ilvl="3">
      <w:start w:val="1"/>
      <w:numFmt w:val="decimal"/>
      <w:lvlText w:val="%1.%2.%3.%4"/>
      <w:legacy w:legacy="1" w:legacySpace="144" w:legacyIndent="0"/>
      <w:lvlJc w:val="left"/>
      <w:pPr>
        <w:ind w:left="0" w:firstLine="425"/>
      </w:pPr>
    </w:lvl>
    <w:lvl w:ilvl="4">
      <w:start w:val="1"/>
      <w:numFmt w:val="decimal"/>
      <w:lvlText w:val="%1.%2.%3.%4.%5"/>
      <w:legacy w:legacy="1" w:legacySpace="144" w:legacyIndent="0"/>
      <w:lvlJc w:val="left"/>
      <w:pPr>
        <w:ind w:left="0" w:firstLine="425"/>
      </w:pPr>
    </w:lvl>
    <w:lvl w:ilvl="5">
      <w:start w:val="1"/>
      <w:numFmt w:val="decimal"/>
      <w:lvlText w:val="%1.%2.%3.%4.%5.%6"/>
      <w:legacy w:legacy="1" w:legacySpace="144" w:legacyIndent="0"/>
      <w:lvlJc w:val="left"/>
      <w:pPr>
        <w:ind w:left="0" w:firstLine="425"/>
      </w:pPr>
    </w:lvl>
    <w:lvl w:ilvl="6">
      <w:start w:val="1"/>
      <w:numFmt w:val="decimal"/>
      <w:lvlText w:val="%1.%2.%3.%4.%5.%6.%7"/>
      <w:legacy w:legacy="1" w:legacySpace="144" w:legacyIndent="0"/>
      <w:lvlJc w:val="left"/>
      <w:pPr>
        <w:ind w:left="0" w:firstLine="425"/>
      </w:pPr>
    </w:lvl>
    <w:lvl w:ilvl="7">
      <w:start w:val="1"/>
      <w:numFmt w:val="decimal"/>
      <w:lvlText w:val="%1.%2.%3.%4.%5.%6.%7.%8"/>
      <w:legacy w:legacy="1" w:legacySpace="144" w:legacyIndent="0"/>
      <w:lvlJc w:val="left"/>
      <w:pPr>
        <w:ind w:left="0" w:firstLine="425"/>
      </w:pPr>
    </w:lvl>
    <w:lvl w:ilvl="8">
      <w:start w:val="1"/>
      <w:numFmt w:val="decimal"/>
      <w:lvlText w:val="%1.%2.%3.%4.%5.%6.%7.%8.%9"/>
      <w:legacy w:legacy="1" w:legacySpace="144" w:legacyIndent="0"/>
      <w:lvlJc w:val="left"/>
      <w:pPr>
        <w:ind w:left="0" w:firstLine="425"/>
      </w:pPr>
    </w:lvl>
  </w:abstractNum>
  <w:abstractNum w:abstractNumId="1">
    <w:nsid w:val="05192D69"/>
    <w:multiLevelType w:val="hybridMultilevel"/>
    <w:tmpl w:val="67C0899A"/>
    <w:lvl w:ilvl="0" w:tplc="4ED81E50">
      <w:start w:val="1"/>
      <w:numFmt w:val="decimal"/>
      <w:lvlText w:val="(%1)"/>
      <w:lvlJc w:val="left"/>
      <w:pPr>
        <w:ind w:left="1122" w:hanging="765"/>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
    <w:nsid w:val="0BAD252C"/>
    <w:multiLevelType w:val="hybridMultilevel"/>
    <w:tmpl w:val="B4E06E8E"/>
    <w:lvl w:ilvl="0" w:tplc="FA3C83E4">
      <w:start w:val="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13DB5FB8"/>
    <w:multiLevelType w:val="hybridMultilevel"/>
    <w:tmpl w:val="B4E06E8E"/>
    <w:lvl w:ilvl="0" w:tplc="FA3C83E4">
      <w:start w:val="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nsid w:val="1963149B"/>
    <w:multiLevelType w:val="hybridMultilevel"/>
    <w:tmpl w:val="2B1094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D47F73"/>
    <w:multiLevelType w:val="hybridMultilevel"/>
    <w:tmpl w:val="B4E06E8E"/>
    <w:lvl w:ilvl="0" w:tplc="FA3C83E4">
      <w:start w:val="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1E2C271A"/>
    <w:multiLevelType w:val="hybridMultilevel"/>
    <w:tmpl w:val="59267442"/>
    <w:lvl w:ilvl="0" w:tplc="A57C37A4">
      <w:start w:val="1"/>
      <w:numFmt w:val="decimal"/>
      <w:pStyle w:val="Heading2"/>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F8325C0"/>
    <w:multiLevelType w:val="hybridMultilevel"/>
    <w:tmpl w:val="C8C25DC4"/>
    <w:lvl w:ilvl="0" w:tplc="2BC2F4B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9B07218"/>
    <w:multiLevelType w:val="hybridMultilevel"/>
    <w:tmpl w:val="F0F45972"/>
    <w:lvl w:ilvl="0" w:tplc="CFBACB28">
      <w:start w:val="1"/>
      <w:numFmt w:val="decimal"/>
      <w:lvlText w:val="%1."/>
      <w:lvlJc w:val="left"/>
      <w:pPr>
        <w:ind w:left="465" w:hanging="465"/>
      </w:pPr>
      <w:rPr>
        <w:rFonts w:ascii="Arial" w:hAnsi="Arial" w:cs="Arial" w:hint="default"/>
        <w:b w:val="0"/>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04F7549"/>
    <w:multiLevelType w:val="hybridMultilevel"/>
    <w:tmpl w:val="770EDA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3E947243"/>
    <w:multiLevelType w:val="hybridMultilevel"/>
    <w:tmpl w:val="92903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83316A1"/>
    <w:multiLevelType w:val="hybridMultilevel"/>
    <w:tmpl w:val="A2FC072A"/>
    <w:lvl w:ilvl="0" w:tplc="08090001">
      <w:start w:val="1"/>
      <w:numFmt w:val="bullet"/>
      <w:lvlText w:val=""/>
      <w:lvlJc w:val="left"/>
      <w:pPr>
        <w:ind w:left="2160" w:hanging="360"/>
      </w:pPr>
      <w:rPr>
        <w:rFonts w:ascii="Symbol" w:hAnsi="Symbol" w:hint="default"/>
      </w:rPr>
    </w:lvl>
    <w:lvl w:ilvl="1" w:tplc="08090019" w:tentative="1">
      <w:start w:val="1"/>
      <w:numFmt w:val="lowerLetter"/>
      <w:lvlText w:val="%2."/>
      <w:lvlJc w:val="left"/>
      <w:pPr>
        <w:ind w:left="2531" w:hanging="360"/>
      </w:pPr>
    </w:lvl>
    <w:lvl w:ilvl="2" w:tplc="0809001B" w:tentative="1">
      <w:start w:val="1"/>
      <w:numFmt w:val="lowerRoman"/>
      <w:lvlText w:val="%3."/>
      <w:lvlJc w:val="right"/>
      <w:pPr>
        <w:ind w:left="3251" w:hanging="180"/>
      </w:pPr>
    </w:lvl>
    <w:lvl w:ilvl="3" w:tplc="0809000F" w:tentative="1">
      <w:start w:val="1"/>
      <w:numFmt w:val="decimal"/>
      <w:lvlText w:val="%4."/>
      <w:lvlJc w:val="left"/>
      <w:pPr>
        <w:ind w:left="3971" w:hanging="360"/>
      </w:pPr>
    </w:lvl>
    <w:lvl w:ilvl="4" w:tplc="08090019" w:tentative="1">
      <w:start w:val="1"/>
      <w:numFmt w:val="lowerLetter"/>
      <w:lvlText w:val="%5."/>
      <w:lvlJc w:val="left"/>
      <w:pPr>
        <w:ind w:left="4691" w:hanging="360"/>
      </w:pPr>
    </w:lvl>
    <w:lvl w:ilvl="5" w:tplc="0809001B" w:tentative="1">
      <w:start w:val="1"/>
      <w:numFmt w:val="lowerRoman"/>
      <w:lvlText w:val="%6."/>
      <w:lvlJc w:val="right"/>
      <w:pPr>
        <w:ind w:left="5411" w:hanging="180"/>
      </w:pPr>
    </w:lvl>
    <w:lvl w:ilvl="6" w:tplc="0809000F" w:tentative="1">
      <w:start w:val="1"/>
      <w:numFmt w:val="decimal"/>
      <w:lvlText w:val="%7."/>
      <w:lvlJc w:val="left"/>
      <w:pPr>
        <w:ind w:left="6131" w:hanging="360"/>
      </w:pPr>
    </w:lvl>
    <w:lvl w:ilvl="7" w:tplc="08090019" w:tentative="1">
      <w:start w:val="1"/>
      <w:numFmt w:val="lowerLetter"/>
      <w:lvlText w:val="%8."/>
      <w:lvlJc w:val="left"/>
      <w:pPr>
        <w:ind w:left="6851" w:hanging="360"/>
      </w:pPr>
    </w:lvl>
    <w:lvl w:ilvl="8" w:tplc="0809001B" w:tentative="1">
      <w:start w:val="1"/>
      <w:numFmt w:val="lowerRoman"/>
      <w:lvlText w:val="%9."/>
      <w:lvlJc w:val="right"/>
      <w:pPr>
        <w:ind w:left="7571" w:hanging="180"/>
      </w:pPr>
    </w:lvl>
  </w:abstractNum>
  <w:abstractNum w:abstractNumId="12">
    <w:nsid w:val="4A240591"/>
    <w:multiLevelType w:val="hybridMultilevel"/>
    <w:tmpl w:val="7AC07E86"/>
    <w:lvl w:ilvl="0" w:tplc="08090001">
      <w:start w:val="1"/>
      <w:numFmt w:val="bullet"/>
      <w:lvlText w:val=""/>
      <w:lvlJc w:val="left"/>
      <w:pPr>
        <w:ind w:left="1069"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2CE42E1"/>
    <w:multiLevelType w:val="multilevel"/>
    <w:tmpl w:val="51EA154E"/>
    <w:name w:val="seq1"/>
    <w:lvl w:ilvl="0">
      <w:start w:val="1"/>
      <w:numFmt w:val="decimal"/>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5940EF9"/>
    <w:multiLevelType w:val="hybridMultilevel"/>
    <w:tmpl w:val="FB767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3"/>
  </w:num>
  <w:num w:numId="5">
    <w:abstractNumId w:val="12"/>
  </w:num>
  <w:num w:numId="6">
    <w:abstractNumId w:val="11"/>
  </w:num>
  <w:num w:numId="7">
    <w:abstractNumId w:val="6"/>
  </w:num>
  <w:num w:numId="8">
    <w:abstractNumId w:val="10"/>
  </w:num>
  <w:num w:numId="9">
    <w:abstractNumId w:val="9"/>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8"/>
  </w:num>
  <w:num w:numId="13">
    <w:abstractNumId w:val="14"/>
  </w:num>
  <w:num w:numId="14">
    <w:abstractNumId w:val="7"/>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933"/>
    <w:rsid w:val="00001454"/>
    <w:rsid w:val="00002AFE"/>
    <w:rsid w:val="00014C33"/>
    <w:rsid w:val="00014E74"/>
    <w:rsid w:val="00015932"/>
    <w:rsid w:val="00023091"/>
    <w:rsid w:val="00027BD0"/>
    <w:rsid w:val="00045A85"/>
    <w:rsid w:val="000728EA"/>
    <w:rsid w:val="00074F14"/>
    <w:rsid w:val="00094DCB"/>
    <w:rsid w:val="00094EF6"/>
    <w:rsid w:val="000B76CD"/>
    <w:rsid w:val="000C03A6"/>
    <w:rsid w:val="000C4A76"/>
    <w:rsid w:val="000D155C"/>
    <w:rsid w:val="000D300D"/>
    <w:rsid w:val="000D4A7C"/>
    <w:rsid w:val="000E22F6"/>
    <w:rsid w:val="000E3BD3"/>
    <w:rsid w:val="000F0933"/>
    <w:rsid w:val="000F3053"/>
    <w:rsid w:val="000F5120"/>
    <w:rsid w:val="000F60BA"/>
    <w:rsid w:val="000F6C5E"/>
    <w:rsid w:val="001123CC"/>
    <w:rsid w:val="001134DF"/>
    <w:rsid w:val="00113A1A"/>
    <w:rsid w:val="00167003"/>
    <w:rsid w:val="00174D9A"/>
    <w:rsid w:val="0017646D"/>
    <w:rsid w:val="00181ADD"/>
    <w:rsid w:val="00190265"/>
    <w:rsid w:val="001A5421"/>
    <w:rsid w:val="001D08DE"/>
    <w:rsid w:val="001D2BCD"/>
    <w:rsid w:val="001F73D8"/>
    <w:rsid w:val="002037DD"/>
    <w:rsid w:val="002077A9"/>
    <w:rsid w:val="00220DFF"/>
    <w:rsid w:val="00223C4A"/>
    <w:rsid w:val="002536F9"/>
    <w:rsid w:val="00261F3B"/>
    <w:rsid w:val="00263491"/>
    <w:rsid w:val="00271243"/>
    <w:rsid w:val="00282F05"/>
    <w:rsid w:val="00295E65"/>
    <w:rsid w:val="002B2C89"/>
    <w:rsid w:val="002E15A9"/>
    <w:rsid w:val="002E7412"/>
    <w:rsid w:val="002F459A"/>
    <w:rsid w:val="002F7BA1"/>
    <w:rsid w:val="00300574"/>
    <w:rsid w:val="00326BBC"/>
    <w:rsid w:val="0033362A"/>
    <w:rsid w:val="003410A8"/>
    <w:rsid w:val="00345204"/>
    <w:rsid w:val="00352BE9"/>
    <w:rsid w:val="00396C57"/>
    <w:rsid w:val="003A6C8F"/>
    <w:rsid w:val="003B00FF"/>
    <w:rsid w:val="003B5D4D"/>
    <w:rsid w:val="003E141D"/>
    <w:rsid w:val="003E5B5B"/>
    <w:rsid w:val="003E69CF"/>
    <w:rsid w:val="003F5CF0"/>
    <w:rsid w:val="0041453E"/>
    <w:rsid w:val="00416EDC"/>
    <w:rsid w:val="00420A5D"/>
    <w:rsid w:val="00432371"/>
    <w:rsid w:val="004332FC"/>
    <w:rsid w:val="00444D63"/>
    <w:rsid w:val="00445603"/>
    <w:rsid w:val="00456883"/>
    <w:rsid w:val="00475B98"/>
    <w:rsid w:val="0048653E"/>
    <w:rsid w:val="004930AE"/>
    <w:rsid w:val="004930BC"/>
    <w:rsid w:val="004954E4"/>
    <w:rsid w:val="004A68FE"/>
    <w:rsid w:val="004E6BA1"/>
    <w:rsid w:val="005564AD"/>
    <w:rsid w:val="00560394"/>
    <w:rsid w:val="00560759"/>
    <w:rsid w:val="0056133A"/>
    <w:rsid w:val="0056350C"/>
    <w:rsid w:val="005B7496"/>
    <w:rsid w:val="005C0682"/>
    <w:rsid w:val="005C43DD"/>
    <w:rsid w:val="005E127E"/>
    <w:rsid w:val="005F0E5C"/>
    <w:rsid w:val="005F6A2D"/>
    <w:rsid w:val="00610559"/>
    <w:rsid w:val="00616D03"/>
    <w:rsid w:val="00631FCD"/>
    <w:rsid w:val="006344FB"/>
    <w:rsid w:val="00652530"/>
    <w:rsid w:val="00666A2B"/>
    <w:rsid w:val="00677F21"/>
    <w:rsid w:val="00695242"/>
    <w:rsid w:val="006A7BBE"/>
    <w:rsid w:val="006F19F7"/>
    <w:rsid w:val="006F3AFF"/>
    <w:rsid w:val="00716B0F"/>
    <w:rsid w:val="00720412"/>
    <w:rsid w:val="0075046E"/>
    <w:rsid w:val="0075524C"/>
    <w:rsid w:val="00770BBE"/>
    <w:rsid w:val="007764E0"/>
    <w:rsid w:val="0078260A"/>
    <w:rsid w:val="007964ED"/>
    <w:rsid w:val="007A4A66"/>
    <w:rsid w:val="007B013A"/>
    <w:rsid w:val="007B4B22"/>
    <w:rsid w:val="007B7D3A"/>
    <w:rsid w:val="007D1D6A"/>
    <w:rsid w:val="007D278F"/>
    <w:rsid w:val="007E6F7F"/>
    <w:rsid w:val="008341D7"/>
    <w:rsid w:val="00836E5B"/>
    <w:rsid w:val="00850ED6"/>
    <w:rsid w:val="00862BA9"/>
    <w:rsid w:val="00864EBE"/>
    <w:rsid w:val="008A0A2B"/>
    <w:rsid w:val="008A1D84"/>
    <w:rsid w:val="008B4E43"/>
    <w:rsid w:val="008B6970"/>
    <w:rsid w:val="008C536F"/>
    <w:rsid w:val="0091342D"/>
    <w:rsid w:val="0092328A"/>
    <w:rsid w:val="00932013"/>
    <w:rsid w:val="00954B21"/>
    <w:rsid w:val="00955519"/>
    <w:rsid w:val="0096756C"/>
    <w:rsid w:val="00971544"/>
    <w:rsid w:val="009905DC"/>
    <w:rsid w:val="009A397F"/>
    <w:rsid w:val="009A6AEA"/>
    <w:rsid w:val="009B0341"/>
    <w:rsid w:val="009B1EAC"/>
    <w:rsid w:val="009B3CCB"/>
    <w:rsid w:val="009D1BF4"/>
    <w:rsid w:val="00A004AE"/>
    <w:rsid w:val="00A026AA"/>
    <w:rsid w:val="00A06462"/>
    <w:rsid w:val="00A33D95"/>
    <w:rsid w:val="00A43B78"/>
    <w:rsid w:val="00A4527E"/>
    <w:rsid w:val="00A646C5"/>
    <w:rsid w:val="00A722C0"/>
    <w:rsid w:val="00A870D4"/>
    <w:rsid w:val="00AA086F"/>
    <w:rsid w:val="00AA4D32"/>
    <w:rsid w:val="00AB46A9"/>
    <w:rsid w:val="00AC5D69"/>
    <w:rsid w:val="00AD3876"/>
    <w:rsid w:val="00AD6F34"/>
    <w:rsid w:val="00AF2341"/>
    <w:rsid w:val="00AF5A46"/>
    <w:rsid w:val="00B1191D"/>
    <w:rsid w:val="00B21011"/>
    <w:rsid w:val="00B45EA9"/>
    <w:rsid w:val="00B52BDE"/>
    <w:rsid w:val="00B5509E"/>
    <w:rsid w:val="00B571D3"/>
    <w:rsid w:val="00B67BD6"/>
    <w:rsid w:val="00B75861"/>
    <w:rsid w:val="00B772B9"/>
    <w:rsid w:val="00B927FE"/>
    <w:rsid w:val="00BD02AC"/>
    <w:rsid w:val="00BD38E3"/>
    <w:rsid w:val="00BE7C1F"/>
    <w:rsid w:val="00BF4CE2"/>
    <w:rsid w:val="00C14F42"/>
    <w:rsid w:val="00C55574"/>
    <w:rsid w:val="00C633D4"/>
    <w:rsid w:val="00C775EA"/>
    <w:rsid w:val="00C9184A"/>
    <w:rsid w:val="00CD03B5"/>
    <w:rsid w:val="00CD3D32"/>
    <w:rsid w:val="00CD52B0"/>
    <w:rsid w:val="00CD5E4C"/>
    <w:rsid w:val="00CF2462"/>
    <w:rsid w:val="00D21FE3"/>
    <w:rsid w:val="00D24229"/>
    <w:rsid w:val="00D27C5D"/>
    <w:rsid w:val="00D514A0"/>
    <w:rsid w:val="00D651F9"/>
    <w:rsid w:val="00D74118"/>
    <w:rsid w:val="00D930D6"/>
    <w:rsid w:val="00DA62F7"/>
    <w:rsid w:val="00DA63D5"/>
    <w:rsid w:val="00DC20B6"/>
    <w:rsid w:val="00DE3297"/>
    <w:rsid w:val="00DF2ACF"/>
    <w:rsid w:val="00E0631B"/>
    <w:rsid w:val="00E13ABA"/>
    <w:rsid w:val="00E332D8"/>
    <w:rsid w:val="00E51D35"/>
    <w:rsid w:val="00E6030A"/>
    <w:rsid w:val="00E6192E"/>
    <w:rsid w:val="00E72533"/>
    <w:rsid w:val="00EC4C6B"/>
    <w:rsid w:val="00EC62D0"/>
    <w:rsid w:val="00ED3BC1"/>
    <w:rsid w:val="00ED507A"/>
    <w:rsid w:val="00EE25A9"/>
    <w:rsid w:val="00EE2818"/>
    <w:rsid w:val="00EF23E1"/>
    <w:rsid w:val="00F14485"/>
    <w:rsid w:val="00F16AB3"/>
    <w:rsid w:val="00F2119B"/>
    <w:rsid w:val="00F2385D"/>
    <w:rsid w:val="00F24FF5"/>
    <w:rsid w:val="00F4015A"/>
    <w:rsid w:val="00F51390"/>
    <w:rsid w:val="00F56566"/>
    <w:rsid w:val="00F76C88"/>
    <w:rsid w:val="00F907B9"/>
    <w:rsid w:val="00F94218"/>
    <w:rsid w:val="00FA60DB"/>
    <w:rsid w:val="00FB3464"/>
    <w:rsid w:val="00FC5E20"/>
    <w:rsid w:val="00FC5E3A"/>
    <w:rsid w:val="00FE53FF"/>
    <w:rsid w:val="00FF3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933"/>
    <w:pPr>
      <w:spacing w:after="120"/>
    </w:pPr>
    <w:rPr>
      <w:rFonts w:ascii="Arial" w:eastAsia="Times New Roman" w:hAnsi="Arial" w:cs="Times New Roman"/>
      <w:sz w:val="24"/>
      <w:szCs w:val="20"/>
    </w:rPr>
  </w:style>
  <w:style w:type="paragraph" w:styleId="Heading1">
    <w:name w:val="heading 1"/>
    <w:aliases w:val="Outline1"/>
    <w:basedOn w:val="Normal"/>
    <w:next w:val="Normal"/>
    <w:link w:val="Heading1Char"/>
    <w:autoRedefine/>
    <w:qFormat/>
    <w:rsid w:val="008A1D84"/>
    <w:pPr>
      <w:tabs>
        <w:tab w:val="left" w:pos="720"/>
        <w:tab w:val="left" w:pos="1440"/>
        <w:tab w:val="left" w:pos="2160"/>
        <w:tab w:val="left" w:pos="2880"/>
        <w:tab w:val="left" w:pos="4680"/>
        <w:tab w:val="left" w:pos="5400"/>
        <w:tab w:val="right" w:pos="9000"/>
      </w:tabs>
      <w:spacing w:line="240" w:lineRule="auto"/>
      <w:ind w:left="720"/>
      <w:jc w:val="both"/>
      <w:outlineLvl w:val="0"/>
    </w:pPr>
    <w:rPr>
      <w:kern w:val="24"/>
      <w:u w:val="single"/>
      <w:lang w:eastAsia="en-GB"/>
    </w:rPr>
  </w:style>
  <w:style w:type="paragraph" w:styleId="Heading2">
    <w:name w:val="heading 2"/>
    <w:aliases w:val="Outline2"/>
    <w:basedOn w:val="ListParagraph"/>
    <w:next w:val="Normal"/>
    <w:link w:val="Heading2Char"/>
    <w:unhideWhenUsed/>
    <w:qFormat/>
    <w:rsid w:val="00027BD0"/>
    <w:pPr>
      <w:numPr>
        <w:numId w:val="7"/>
      </w:numPr>
      <w:spacing w:line="240" w:lineRule="auto"/>
      <w:jc w:val="both"/>
      <w:outlineLvl w:val="1"/>
    </w:pPr>
    <w:rPr>
      <w:rFonts w:ascii="Arial" w:hAnsi="Arial" w:cs="Arial"/>
      <w:sz w:val="24"/>
      <w:szCs w:val="24"/>
    </w:rPr>
  </w:style>
  <w:style w:type="paragraph" w:styleId="Heading3">
    <w:name w:val="heading 3"/>
    <w:aliases w:val="Outline3"/>
    <w:basedOn w:val="Normal"/>
    <w:next w:val="Normal"/>
    <w:link w:val="Heading3Char"/>
    <w:semiHidden/>
    <w:unhideWhenUsed/>
    <w:qFormat/>
    <w:rsid w:val="000F0933"/>
    <w:pPr>
      <w:numPr>
        <w:ilvl w:val="2"/>
        <w:numId w:val="1"/>
      </w:numPr>
      <w:ind w:firstLine="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rsid w:val="008A1D84"/>
    <w:rPr>
      <w:rFonts w:ascii="Arial" w:eastAsia="Times New Roman" w:hAnsi="Arial" w:cs="Times New Roman"/>
      <w:kern w:val="24"/>
      <w:sz w:val="24"/>
      <w:szCs w:val="20"/>
      <w:u w:val="single"/>
      <w:lang w:eastAsia="en-GB"/>
    </w:rPr>
  </w:style>
  <w:style w:type="character" w:customStyle="1" w:styleId="Heading2Char">
    <w:name w:val="Heading 2 Char"/>
    <w:aliases w:val="Outline2 Char"/>
    <w:basedOn w:val="DefaultParagraphFont"/>
    <w:link w:val="Heading2"/>
    <w:rsid w:val="00027BD0"/>
    <w:rPr>
      <w:rFonts w:ascii="Arial" w:hAnsi="Arial" w:cs="Arial"/>
      <w:sz w:val="24"/>
      <w:szCs w:val="24"/>
    </w:rPr>
  </w:style>
  <w:style w:type="character" w:customStyle="1" w:styleId="Heading3Char">
    <w:name w:val="Heading 3 Char"/>
    <w:aliases w:val="Outline3 Char"/>
    <w:basedOn w:val="DefaultParagraphFont"/>
    <w:link w:val="Heading3"/>
    <w:semiHidden/>
    <w:rsid w:val="000F0933"/>
    <w:rPr>
      <w:rFonts w:ascii="Arial" w:eastAsia="Times New Roman" w:hAnsi="Arial" w:cs="Times New Roman"/>
      <w:kern w:val="24"/>
      <w:sz w:val="24"/>
      <w:szCs w:val="20"/>
    </w:rPr>
  </w:style>
  <w:style w:type="paragraph" w:styleId="ListParagraph">
    <w:name w:val="List Paragraph"/>
    <w:basedOn w:val="Normal"/>
    <w:uiPriority w:val="34"/>
    <w:qFormat/>
    <w:rsid w:val="000F0933"/>
    <w:pPr>
      <w:spacing w:after="200"/>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0F0933"/>
    <w:rPr>
      <w:b/>
      <w:bCs/>
    </w:rPr>
  </w:style>
  <w:style w:type="paragraph" w:customStyle="1" w:styleId="Default">
    <w:name w:val="Default"/>
    <w:rsid w:val="00295E6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semiHidden/>
    <w:unhideWhenUsed/>
    <w:rsid w:val="00295E65"/>
    <w:pPr>
      <w:spacing w:after="0" w:line="240" w:lineRule="auto"/>
    </w:pPr>
    <w:rPr>
      <w:rFonts w:asciiTheme="minorHAnsi" w:eastAsiaTheme="minorHAnsi" w:hAnsiTheme="minorHAnsi" w:cstheme="minorBidi"/>
      <w:sz w:val="20"/>
    </w:rPr>
  </w:style>
  <w:style w:type="character" w:customStyle="1" w:styleId="FootnoteTextChar">
    <w:name w:val="Footnote Text Char"/>
    <w:basedOn w:val="DefaultParagraphFont"/>
    <w:link w:val="FootnoteText"/>
    <w:semiHidden/>
    <w:rsid w:val="00295E65"/>
    <w:rPr>
      <w:sz w:val="20"/>
      <w:szCs w:val="20"/>
    </w:rPr>
  </w:style>
  <w:style w:type="character" w:styleId="FootnoteReference">
    <w:name w:val="footnote reference"/>
    <w:basedOn w:val="DefaultParagraphFont"/>
    <w:semiHidden/>
    <w:unhideWhenUsed/>
    <w:rsid w:val="00295E65"/>
    <w:rPr>
      <w:vertAlign w:val="superscript"/>
    </w:rPr>
  </w:style>
  <w:style w:type="character" w:styleId="Hyperlink">
    <w:name w:val="Hyperlink"/>
    <w:basedOn w:val="DefaultParagraphFont"/>
    <w:uiPriority w:val="99"/>
    <w:unhideWhenUsed/>
    <w:rsid w:val="00295E65"/>
    <w:rPr>
      <w:color w:val="0000FF" w:themeColor="hyperlink"/>
      <w:u w:val="single"/>
    </w:rPr>
  </w:style>
  <w:style w:type="paragraph" w:styleId="BalloonText">
    <w:name w:val="Balloon Text"/>
    <w:basedOn w:val="Normal"/>
    <w:link w:val="BalloonTextChar"/>
    <w:uiPriority w:val="99"/>
    <w:semiHidden/>
    <w:unhideWhenUsed/>
    <w:rsid w:val="00B75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861"/>
    <w:rPr>
      <w:rFonts w:ascii="Tahoma" w:eastAsia="Times New Roman" w:hAnsi="Tahoma" w:cs="Tahoma"/>
      <w:sz w:val="16"/>
      <w:szCs w:val="16"/>
    </w:rPr>
  </w:style>
  <w:style w:type="paragraph" w:styleId="Header">
    <w:name w:val="header"/>
    <w:basedOn w:val="Normal"/>
    <w:link w:val="HeaderChar"/>
    <w:uiPriority w:val="99"/>
    <w:unhideWhenUsed/>
    <w:rsid w:val="006F19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9F7"/>
    <w:rPr>
      <w:rFonts w:ascii="Arial" w:eastAsia="Times New Roman" w:hAnsi="Arial" w:cs="Times New Roman"/>
      <w:sz w:val="24"/>
      <w:szCs w:val="20"/>
    </w:rPr>
  </w:style>
  <w:style w:type="paragraph" w:styleId="Footer">
    <w:name w:val="footer"/>
    <w:basedOn w:val="Normal"/>
    <w:link w:val="FooterChar"/>
    <w:uiPriority w:val="99"/>
    <w:unhideWhenUsed/>
    <w:rsid w:val="006F19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9F7"/>
    <w:rPr>
      <w:rFonts w:ascii="Arial" w:eastAsia="Times New Roman" w:hAnsi="Arial" w:cs="Times New Roman"/>
      <w:sz w:val="24"/>
      <w:szCs w:val="20"/>
    </w:rPr>
  </w:style>
  <w:style w:type="paragraph" w:styleId="Title">
    <w:name w:val="Title"/>
    <w:basedOn w:val="Normal"/>
    <w:link w:val="TitleChar"/>
    <w:qFormat/>
    <w:rsid w:val="00862BA9"/>
    <w:pPr>
      <w:spacing w:after="600" w:line="240" w:lineRule="auto"/>
      <w:jc w:val="center"/>
    </w:pPr>
    <w:rPr>
      <w:rFonts w:ascii="Times New Roman" w:hAnsi="Times New Roman"/>
      <w:kern w:val="28"/>
      <w:sz w:val="32"/>
    </w:rPr>
  </w:style>
  <w:style w:type="character" w:customStyle="1" w:styleId="TitleChar">
    <w:name w:val="Title Char"/>
    <w:basedOn w:val="DefaultParagraphFont"/>
    <w:link w:val="Title"/>
    <w:rsid w:val="00862BA9"/>
    <w:rPr>
      <w:rFonts w:ascii="Times New Roman" w:eastAsia="Times New Roman" w:hAnsi="Times New Roman" w:cs="Times New Roman"/>
      <w:kern w:val="28"/>
      <w:sz w:val="32"/>
      <w:szCs w:val="20"/>
    </w:rPr>
  </w:style>
  <w:style w:type="paragraph" w:customStyle="1" w:styleId="linespace">
    <w:name w:val="linespace"/>
    <w:rsid w:val="00862BA9"/>
    <w:pPr>
      <w:spacing w:after="0" w:line="240" w:lineRule="exact"/>
    </w:pPr>
    <w:rPr>
      <w:rFonts w:ascii="Times New Roman" w:eastAsia="Times New Roman" w:hAnsi="Times New Roman" w:cs="Times New Roman"/>
      <w:noProof/>
      <w:sz w:val="20"/>
      <w:szCs w:val="20"/>
    </w:rPr>
  </w:style>
  <w:style w:type="paragraph" w:customStyle="1" w:styleId="Number">
    <w:name w:val="Number"/>
    <w:basedOn w:val="Normal"/>
    <w:next w:val="subject"/>
    <w:rsid w:val="00862BA9"/>
    <w:pPr>
      <w:spacing w:after="320" w:line="240" w:lineRule="auto"/>
      <w:jc w:val="center"/>
    </w:pPr>
    <w:rPr>
      <w:rFonts w:ascii="Times New Roman" w:hAnsi="Times New Roman"/>
      <w:b/>
      <w:sz w:val="32"/>
    </w:rPr>
  </w:style>
  <w:style w:type="paragraph" w:customStyle="1" w:styleId="Banner">
    <w:name w:val="Banner"/>
    <w:next w:val="Number"/>
    <w:rsid w:val="00862BA9"/>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Cs w:val="20"/>
    </w:rPr>
  </w:style>
  <w:style w:type="paragraph" w:customStyle="1" w:styleId="subject">
    <w:name w:val="subject"/>
    <w:basedOn w:val="Normal"/>
    <w:next w:val="Normal"/>
    <w:rsid w:val="00862BA9"/>
    <w:pPr>
      <w:spacing w:after="320" w:line="240" w:lineRule="auto"/>
      <w:jc w:val="center"/>
    </w:pPr>
    <w:rPr>
      <w:rFonts w:ascii="Times New Roman" w:hAnsi="Times New Roman"/>
      <w:b/>
      <w:caps/>
      <w:sz w:val="32"/>
    </w:rPr>
  </w:style>
  <w:style w:type="paragraph" w:customStyle="1" w:styleId="Pre">
    <w:name w:val="Pre"/>
    <w:basedOn w:val="Normal"/>
    <w:rsid w:val="00862BA9"/>
    <w:pPr>
      <w:spacing w:before="360" w:after="0" w:line="220" w:lineRule="atLeast"/>
      <w:jc w:val="both"/>
    </w:pPr>
    <w:rPr>
      <w:rFonts w:ascii="Times New Roman" w:hAnsi="Times New Roman"/>
      <w:sz w:val="21"/>
    </w:rPr>
  </w:style>
  <w:style w:type="paragraph" w:customStyle="1" w:styleId="Coming">
    <w:name w:val="Coming"/>
    <w:basedOn w:val="Normal"/>
    <w:next w:val="Pre"/>
    <w:rsid w:val="00862BA9"/>
    <w:pPr>
      <w:tabs>
        <w:tab w:val="left" w:pos="3232"/>
        <w:tab w:val="left" w:pos="3629"/>
        <w:tab w:val="right" w:pos="6804"/>
      </w:tabs>
      <w:spacing w:after="0" w:line="220" w:lineRule="atLeast"/>
      <w:ind w:left="1711" w:right="1541" w:hanging="170"/>
      <w:jc w:val="both"/>
    </w:pPr>
    <w:rPr>
      <w:rFonts w:ascii="Times New Roman" w:hAnsi="Times New Roman"/>
      <w:i/>
      <w:sz w:val="21"/>
    </w:rPr>
  </w:style>
  <w:style w:type="paragraph" w:customStyle="1" w:styleId="N1">
    <w:name w:val="N1"/>
    <w:basedOn w:val="Normal"/>
    <w:uiPriority w:val="99"/>
    <w:rsid w:val="00862BA9"/>
    <w:pPr>
      <w:numPr>
        <w:numId w:val="10"/>
      </w:numPr>
      <w:spacing w:before="160" w:after="0" w:line="220" w:lineRule="atLeast"/>
      <w:jc w:val="both"/>
    </w:pPr>
    <w:rPr>
      <w:rFonts w:ascii="Times New Roman" w:hAnsi="Times New Roman"/>
      <w:sz w:val="21"/>
    </w:rPr>
  </w:style>
  <w:style w:type="paragraph" w:customStyle="1" w:styleId="H1">
    <w:name w:val="H1"/>
    <w:basedOn w:val="Normal"/>
    <w:next w:val="N1"/>
    <w:rsid w:val="00862BA9"/>
    <w:pPr>
      <w:keepNext/>
      <w:spacing w:before="320" w:after="0" w:line="220" w:lineRule="atLeast"/>
      <w:jc w:val="both"/>
    </w:pPr>
    <w:rPr>
      <w:rFonts w:ascii="Times New Roman" w:hAnsi="Times New Roman"/>
      <w:b/>
      <w:sz w:val="21"/>
    </w:rPr>
  </w:style>
  <w:style w:type="paragraph" w:customStyle="1" w:styleId="N2">
    <w:name w:val="N2"/>
    <w:basedOn w:val="N1"/>
    <w:uiPriority w:val="99"/>
    <w:rsid w:val="00862BA9"/>
    <w:pPr>
      <w:numPr>
        <w:ilvl w:val="1"/>
      </w:numPr>
      <w:spacing w:before="80"/>
    </w:pPr>
  </w:style>
  <w:style w:type="paragraph" w:customStyle="1" w:styleId="N3">
    <w:name w:val="N3"/>
    <w:basedOn w:val="N2"/>
    <w:uiPriority w:val="99"/>
    <w:rsid w:val="00862BA9"/>
    <w:pPr>
      <w:numPr>
        <w:ilvl w:val="2"/>
      </w:numPr>
    </w:pPr>
  </w:style>
  <w:style w:type="paragraph" w:customStyle="1" w:styleId="Laid">
    <w:name w:val="Laid"/>
    <w:basedOn w:val="Normal"/>
    <w:next w:val="Coming"/>
    <w:rsid w:val="00862BA9"/>
    <w:pPr>
      <w:tabs>
        <w:tab w:val="right" w:pos="6804"/>
      </w:tabs>
      <w:spacing w:after="160" w:line="220" w:lineRule="atLeast"/>
      <w:ind w:left="1541" w:right="1541"/>
      <w:jc w:val="both"/>
    </w:pPr>
    <w:rPr>
      <w:rFonts w:ascii="Times New Roman" w:hAnsi="Times New Roman"/>
      <w:i/>
      <w:sz w:val="21"/>
    </w:rPr>
  </w:style>
  <w:style w:type="character" w:customStyle="1" w:styleId="MadeChar">
    <w:name w:val="Made Char"/>
    <w:link w:val="Made"/>
    <w:locked/>
    <w:rsid w:val="00862BA9"/>
    <w:rPr>
      <w:i/>
      <w:sz w:val="21"/>
    </w:rPr>
  </w:style>
  <w:style w:type="paragraph" w:customStyle="1" w:styleId="Made">
    <w:name w:val="Made"/>
    <w:basedOn w:val="Normal"/>
    <w:next w:val="Laid"/>
    <w:link w:val="MadeChar"/>
    <w:rsid w:val="00862BA9"/>
    <w:pPr>
      <w:tabs>
        <w:tab w:val="left" w:pos="2438"/>
        <w:tab w:val="left" w:pos="2835"/>
        <w:tab w:val="left" w:pos="3232"/>
        <w:tab w:val="left" w:pos="3629"/>
        <w:tab w:val="right" w:pos="6804"/>
      </w:tabs>
      <w:spacing w:after="160" w:line="220" w:lineRule="atLeast"/>
      <w:ind w:left="1541" w:right="1541"/>
      <w:jc w:val="both"/>
    </w:pPr>
    <w:rPr>
      <w:rFonts w:asciiTheme="minorHAnsi" w:eastAsiaTheme="minorHAnsi" w:hAnsiTheme="minorHAnsi" w:cstheme="minorBidi"/>
      <w:i/>
      <w:sz w:val="21"/>
      <w:szCs w:val="22"/>
    </w:rPr>
  </w:style>
  <w:style w:type="paragraph" w:customStyle="1" w:styleId="N4">
    <w:name w:val="N4"/>
    <w:basedOn w:val="N3"/>
    <w:uiPriority w:val="99"/>
    <w:rsid w:val="00862BA9"/>
    <w:pPr>
      <w:numPr>
        <w:ilvl w:val="3"/>
      </w:numPr>
    </w:pPr>
  </w:style>
  <w:style w:type="paragraph" w:customStyle="1" w:styleId="N5">
    <w:name w:val="N5"/>
    <w:basedOn w:val="N4"/>
    <w:uiPriority w:val="99"/>
    <w:rsid w:val="00862BA9"/>
    <w:pPr>
      <w:numPr>
        <w:ilvl w:val="4"/>
      </w:numPr>
    </w:pPr>
  </w:style>
  <w:style w:type="paragraph" w:customStyle="1" w:styleId="SigBlock">
    <w:name w:val="SigBlock"/>
    <w:basedOn w:val="Normal"/>
    <w:rsid w:val="00862BA9"/>
    <w:pPr>
      <w:keepLines/>
      <w:tabs>
        <w:tab w:val="right" w:pos="8280"/>
      </w:tabs>
      <w:spacing w:after="0" w:line="220" w:lineRule="atLeast"/>
    </w:pPr>
    <w:rPr>
      <w:rFonts w:ascii="Times New Roman" w:hAnsi="Times New Roman"/>
      <w:sz w:val="21"/>
    </w:rPr>
  </w:style>
  <w:style w:type="paragraph" w:customStyle="1" w:styleId="XNote">
    <w:name w:val="X_Note"/>
    <w:basedOn w:val="Normal"/>
    <w:rsid w:val="00862BA9"/>
    <w:pPr>
      <w:keepNext/>
      <w:spacing w:line="220" w:lineRule="atLeast"/>
      <w:jc w:val="center"/>
    </w:pPr>
    <w:rPr>
      <w:rFonts w:ascii="Times New Roman" w:hAnsi="Times New Roman"/>
      <w:b/>
      <w:sz w:val="21"/>
    </w:rPr>
  </w:style>
  <w:style w:type="paragraph" w:customStyle="1" w:styleId="XNotenote">
    <w:name w:val="X_Note_note"/>
    <w:basedOn w:val="Normal"/>
    <w:next w:val="Normal"/>
    <w:rsid w:val="00862BA9"/>
    <w:pPr>
      <w:keepNext/>
      <w:spacing w:line="220" w:lineRule="atLeast"/>
      <w:jc w:val="center"/>
    </w:pPr>
    <w:rPr>
      <w:rFonts w:ascii="Times New Roman" w:hAnsi="Times New Roman"/>
      <w:i/>
      <w:sz w:val="21"/>
    </w:rPr>
  </w:style>
  <w:style w:type="character" w:customStyle="1" w:styleId="SigAdd">
    <w:name w:val="Sig_Add"/>
    <w:basedOn w:val="DefaultParagraphFont"/>
    <w:rsid w:val="00862BA9"/>
  </w:style>
  <w:style w:type="character" w:customStyle="1" w:styleId="SigDate">
    <w:name w:val="Sig_Date"/>
    <w:basedOn w:val="DefaultParagraphFont"/>
    <w:rsid w:val="00862BA9"/>
  </w:style>
  <w:style w:type="character" w:customStyle="1" w:styleId="Sigtitle">
    <w:name w:val="Sig_title"/>
    <w:basedOn w:val="DefaultParagraphFont"/>
    <w:rsid w:val="00862BA9"/>
  </w:style>
  <w:style w:type="character" w:styleId="BookTitle">
    <w:name w:val="Book Title"/>
    <w:basedOn w:val="DefaultParagraphFont"/>
    <w:uiPriority w:val="33"/>
    <w:qFormat/>
    <w:rsid w:val="0033362A"/>
    <w:rPr>
      <w:b/>
      <w:bCs/>
      <w:smallCaps/>
      <w:spacing w:val="5"/>
    </w:rPr>
  </w:style>
  <w:style w:type="paragraph" w:styleId="TOCHeading">
    <w:name w:val="TOC Heading"/>
    <w:basedOn w:val="Heading1"/>
    <w:next w:val="Normal"/>
    <w:uiPriority w:val="39"/>
    <w:unhideWhenUsed/>
    <w:qFormat/>
    <w:rsid w:val="0033362A"/>
    <w:pPr>
      <w:keepNext/>
      <w:keepLines/>
      <w:tabs>
        <w:tab w:val="clear" w:pos="720"/>
        <w:tab w:val="clear" w:pos="1440"/>
        <w:tab w:val="clear" w:pos="2160"/>
        <w:tab w:val="clear" w:pos="2880"/>
        <w:tab w:val="clear" w:pos="4680"/>
        <w:tab w:val="clear" w:pos="5400"/>
        <w:tab w:val="clear" w:pos="9000"/>
      </w:tabs>
      <w:spacing w:before="480" w:line="276" w:lineRule="auto"/>
      <w:ind w:left="0"/>
      <w:jc w:val="left"/>
      <w:outlineLvl w:val="9"/>
    </w:pPr>
    <w:rPr>
      <w:rFonts w:asciiTheme="majorHAnsi" w:eastAsiaTheme="majorEastAsia" w:hAnsiTheme="majorHAnsi" w:cstheme="majorBidi"/>
      <w:b/>
      <w:bCs/>
      <w:color w:val="365F91" w:themeColor="accent1" w:themeShade="BF"/>
      <w:kern w:val="0"/>
      <w:sz w:val="28"/>
      <w:szCs w:val="28"/>
      <w:lang w:val="en-US" w:eastAsia="ja-JP"/>
    </w:rPr>
  </w:style>
  <w:style w:type="paragraph" w:styleId="TOC1">
    <w:name w:val="toc 1"/>
    <w:basedOn w:val="Normal"/>
    <w:next w:val="Normal"/>
    <w:autoRedefine/>
    <w:uiPriority w:val="39"/>
    <w:unhideWhenUsed/>
    <w:qFormat/>
    <w:rsid w:val="0033362A"/>
    <w:pPr>
      <w:spacing w:after="100"/>
    </w:pPr>
  </w:style>
  <w:style w:type="paragraph" w:styleId="TOC2">
    <w:name w:val="toc 2"/>
    <w:basedOn w:val="Normal"/>
    <w:next w:val="Normal"/>
    <w:autoRedefine/>
    <w:uiPriority w:val="39"/>
    <w:unhideWhenUsed/>
    <w:qFormat/>
    <w:rsid w:val="0033362A"/>
    <w:pPr>
      <w:spacing w:after="100"/>
      <w:ind w:left="240"/>
    </w:pPr>
  </w:style>
  <w:style w:type="paragraph" w:styleId="TOC3">
    <w:name w:val="toc 3"/>
    <w:basedOn w:val="Normal"/>
    <w:next w:val="Normal"/>
    <w:autoRedefine/>
    <w:uiPriority w:val="39"/>
    <w:unhideWhenUsed/>
    <w:qFormat/>
    <w:rsid w:val="0033362A"/>
    <w:pPr>
      <w:spacing w:after="100"/>
      <w:ind w:left="480"/>
    </w:pPr>
  </w:style>
  <w:style w:type="paragraph" w:customStyle="1" w:styleId="T1">
    <w:name w:val="T1"/>
    <w:basedOn w:val="Normal"/>
    <w:rsid w:val="00023091"/>
    <w:pPr>
      <w:spacing w:before="160" w:after="0" w:line="220" w:lineRule="atLeast"/>
      <w:jc w:val="both"/>
    </w:pPr>
    <w:rPr>
      <w:rFonts w:ascii="Times New Roman" w:hAnsi="Times New Roman"/>
      <w:sz w:val="21"/>
    </w:rPr>
  </w:style>
  <w:style w:type="character" w:customStyle="1" w:styleId="SigSignee">
    <w:name w:val="Sig_Signee"/>
    <w:rsid w:val="00023091"/>
    <w:rPr>
      <w:i/>
      <w:iCs w:val="0"/>
    </w:rPr>
  </w:style>
  <w:style w:type="paragraph" w:customStyle="1" w:styleId="Draft">
    <w:name w:val="Draft"/>
    <w:basedOn w:val="Normal"/>
    <w:rsid w:val="006A7BBE"/>
    <w:pPr>
      <w:spacing w:after="240" w:line="220" w:lineRule="atLeast"/>
      <w:jc w:val="both"/>
    </w:pPr>
    <w:rPr>
      <w:rFonts w:ascii="Times New Roman" w:hAnsi="Times New Roman"/>
      <w:i/>
      <w:sz w:val="21"/>
    </w:rPr>
  </w:style>
  <w:style w:type="character" w:styleId="CommentReference">
    <w:name w:val="annotation reference"/>
    <w:basedOn w:val="DefaultParagraphFont"/>
    <w:uiPriority w:val="99"/>
    <w:semiHidden/>
    <w:unhideWhenUsed/>
    <w:rsid w:val="00695242"/>
    <w:rPr>
      <w:sz w:val="16"/>
      <w:szCs w:val="16"/>
    </w:rPr>
  </w:style>
  <w:style w:type="paragraph" w:styleId="CommentText">
    <w:name w:val="annotation text"/>
    <w:basedOn w:val="Normal"/>
    <w:link w:val="CommentTextChar"/>
    <w:uiPriority w:val="99"/>
    <w:semiHidden/>
    <w:unhideWhenUsed/>
    <w:rsid w:val="00695242"/>
    <w:pPr>
      <w:spacing w:line="240" w:lineRule="auto"/>
    </w:pPr>
    <w:rPr>
      <w:sz w:val="20"/>
    </w:rPr>
  </w:style>
  <w:style w:type="character" w:customStyle="1" w:styleId="CommentTextChar">
    <w:name w:val="Comment Text Char"/>
    <w:basedOn w:val="DefaultParagraphFont"/>
    <w:link w:val="CommentText"/>
    <w:uiPriority w:val="99"/>
    <w:semiHidden/>
    <w:rsid w:val="0069524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95242"/>
    <w:rPr>
      <w:b/>
      <w:bCs/>
    </w:rPr>
  </w:style>
  <w:style w:type="character" w:customStyle="1" w:styleId="CommentSubjectChar">
    <w:name w:val="Comment Subject Char"/>
    <w:basedOn w:val="CommentTextChar"/>
    <w:link w:val="CommentSubject"/>
    <w:uiPriority w:val="99"/>
    <w:semiHidden/>
    <w:rsid w:val="00695242"/>
    <w:rPr>
      <w:rFonts w:ascii="Arial" w:eastAsia="Times New Roman" w:hAnsi="Arial" w:cs="Times New Roman"/>
      <w:b/>
      <w:bCs/>
      <w:sz w:val="20"/>
      <w:szCs w:val="20"/>
    </w:rPr>
  </w:style>
  <w:style w:type="table" w:styleId="TableGrid">
    <w:name w:val="Table Grid"/>
    <w:basedOn w:val="TableNormal"/>
    <w:uiPriority w:val="59"/>
    <w:rsid w:val="00ED50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933"/>
    <w:pPr>
      <w:spacing w:after="120"/>
    </w:pPr>
    <w:rPr>
      <w:rFonts w:ascii="Arial" w:eastAsia="Times New Roman" w:hAnsi="Arial" w:cs="Times New Roman"/>
      <w:sz w:val="24"/>
      <w:szCs w:val="20"/>
    </w:rPr>
  </w:style>
  <w:style w:type="paragraph" w:styleId="Heading1">
    <w:name w:val="heading 1"/>
    <w:aliases w:val="Outline1"/>
    <w:basedOn w:val="Normal"/>
    <w:next w:val="Normal"/>
    <w:link w:val="Heading1Char"/>
    <w:autoRedefine/>
    <w:qFormat/>
    <w:rsid w:val="008A1D84"/>
    <w:pPr>
      <w:tabs>
        <w:tab w:val="left" w:pos="720"/>
        <w:tab w:val="left" w:pos="1440"/>
        <w:tab w:val="left" w:pos="2160"/>
        <w:tab w:val="left" w:pos="2880"/>
        <w:tab w:val="left" w:pos="4680"/>
        <w:tab w:val="left" w:pos="5400"/>
        <w:tab w:val="right" w:pos="9000"/>
      </w:tabs>
      <w:spacing w:line="240" w:lineRule="auto"/>
      <w:ind w:left="720"/>
      <w:jc w:val="both"/>
      <w:outlineLvl w:val="0"/>
    </w:pPr>
    <w:rPr>
      <w:kern w:val="24"/>
      <w:u w:val="single"/>
      <w:lang w:eastAsia="en-GB"/>
    </w:rPr>
  </w:style>
  <w:style w:type="paragraph" w:styleId="Heading2">
    <w:name w:val="heading 2"/>
    <w:aliases w:val="Outline2"/>
    <w:basedOn w:val="ListParagraph"/>
    <w:next w:val="Normal"/>
    <w:link w:val="Heading2Char"/>
    <w:unhideWhenUsed/>
    <w:qFormat/>
    <w:rsid w:val="00027BD0"/>
    <w:pPr>
      <w:numPr>
        <w:numId w:val="7"/>
      </w:numPr>
      <w:spacing w:line="240" w:lineRule="auto"/>
      <w:jc w:val="both"/>
      <w:outlineLvl w:val="1"/>
    </w:pPr>
    <w:rPr>
      <w:rFonts w:ascii="Arial" w:hAnsi="Arial" w:cs="Arial"/>
      <w:sz w:val="24"/>
      <w:szCs w:val="24"/>
    </w:rPr>
  </w:style>
  <w:style w:type="paragraph" w:styleId="Heading3">
    <w:name w:val="heading 3"/>
    <w:aliases w:val="Outline3"/>
    <w:basedOn w:val="Normal"/>
    <w:next w:val="Normal"/>
    <w:link w:val="Heading3Char"/>
    <w:semiHidden/>
    <w:unhideWhenUsed/>
    <w:qFormat/>
    <w:rsid w:val="000F0933"/>
    <w:pPr>
      <w:numPr>
        <w:ilvl w:val="2"/>
        <w:numId w:val="1"/>
      </w:numPr>
      <w:ind w:firstLine="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rsid w:val="008A1D84"/>
    <w:rPr>
      <w:rFonts w:ascii="Arial" w:eastAsia="Times New Roman" w:hAnsi="Arial" w:cs="Times New Roman"/>
      <w:kern w:val="24"/>
      <w:sz w:val="24"/>
      <w:szCs w:val="20"/>
      <w:u w:val="single"/>
      <w:lang w:eastAsia="en-GB"/>
    </w:rPr>
  </w:style>
  <w:style w:type="character" w:customStyle="1" w:styleId="Heading2Char">
    <w:name w:val="Heading 2 Char"/>
    <w:aliases w:val="Outline2 Char"/>
    <w:basedOn w:val="DefaultParagraphFont"/>
    <w:link w:val="Heading2"/>
    <w:rsid w:val="00027BD0"/>
    <w:rPr>
      <w:rFonts w:ascii="Arial" w:hAnsi="Arial" w:cs="Arial"/>
      <w:sz w:val="24"/>
      <w:szCs w:val="24"/>
    </w:rPr>
  </w:style>
  <w:style w:type="character" w:customStyle="1" w:styleId="Heading3Char">
    <w:name w:val="Heading 3 Char"/>
    <w:aliases w:val="Outline3 Char"/>
    <w:basedOn w:val="DefaultParagraphFont"/>
    <w:link w:val="Heading3"/>
    <w:semiHidden/>
    <w:rsid w:val="000F0933"/>
    <w:rPr>
      <w:rFonts w:ascii="Arial" w:eastAsia="Times New Roman" w:hAnsi="Arial" w:cs="Times New Roman"/>
      <w:kern w:val="24"/>
      <w:sz w:val="24"/>
      <w:szCs w:val="20"/>
    </w:rPr>
  </w:style>
  <w:style w:type="paragraph" w:styleId="ListParagraph">
    <w:name w:val="List Paragraph"/>
    <w:basedOn w:val="Normal"/>
    <w:uiPriority w:val="34"/>
    <w:qFormat/>
    <w:rsid w:val="000F0933"/>
    <w:pPr>
      <w:spacing w:after="200"/>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0F0933"/>
    <w:rPr>
      <w:b/>
      <w:bCs/>
    </w:rPr>
  </w:style>
  <w:style w:type="paragraph" w:customStyle="1" w:styleId="Default">
    <w:name w:val="Default"/>
    <w:rsid w:val="00295E6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semiHidden/>
    <w:unhideWhenUsed/>
    <w:rsid w:val="00295E65"/>
    <w:pPr>
      <w:spacing w:after="0" w:line="240" w:lineRule="auto"/>
    </w:pPr>
    <w:rPr>
      <w:rFonts w:asciiTheme="minorHAnsi" w:eastAsiaTheme="minorHAnsi" w:hAnsiTheme="minorHAnsi" w:cstheme="minorBidi"/>
      <w:sz w:val="20"/>
    </w:rPr>
  </w:style>
  <w:style w:type="character" w:customStyle="1" w:styleId="FootnoteTextChar">
    <w:name w:val="Footnote Text Char"/>
    <w:basedOn w:val="DefaultParagraphFont"/>
    <w:link w:val="FootnoteText"/>
    <w:semiHidden/>
    <w:rsid w:val="00295E65"/>
    <w:rPr>
      <w:sz w:val="20"/>
      <w:szCs w:val="20"/>
    </w:rPr>
  </w:style>
  <w:style w:type="character" w:styleId="FootnoteReference">
    <w:name w:val="footnote reference"/>
    <w:basedOn w:val="DefaultParagraphFont"/>
    <w:semiHidden/>
    <w:unhideWhenUsed/>
    <w:rsid w:val="00295E65"/>
    <w:rPr>
      <w:vertAlign w:val="superscript"/>
    </w:rPr>
  </w:style>
  <w:style w:type="character" w:styleId="Hyperlink">
    <w:name w:val="Hyperlink"/>
    <w:basedOn w:val="DefaultParagraphFont"/>
    <w:uiPriority w:val="99"/>
    <w:unhideWhenUsed/>
    <w:rsid w:val="00295E65"/>
    <w:rPr>
      <w:color w:val="0000FF" w:themeColor="hyperlink"/>
      <w:u w:val="single"/>
    </w:rPr>
  </w:style>
  <w:style w:type="paragraph" w:styleId="BalloonText">
    <w:name w:val="Balloon Text"/>
    <w:basedOn w:val="Normal"/>
    <w:link w:val="BalloonTextChar"/>
    <w:uiPriority w:val="99"/>
    <w:semiHidden/>
    <w:unhideWhenUsed/>
    <w:rsid w:val="00B75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861"/>
    <w:rPr>
      <w:rFonts w:ascii="Tahoma" w:eastAsia="Times New Roman" w:hAnsi="Tahoma" w:cs="Tahoma"/>
      <w:sz w:val="16"/>
      <w:szCs w:val="16"/>
    </w:rPr>
  </w:style>
  <w:style w:type="paragraph" w:styleId="Header">
    <w:name w:val="header"/>
    <w:basedOn w:val="Normal"/>
    <w:link w:val="HeaderChar"/>
    <w:uiPriority w:val="99"/>
    <w:unhideWhenUsed/>
    <w:rsid w:val="006F19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9F7"/>
    <w:rPr>
      <w:rFonts w:ascii="Arial" w:eastAsia="Times New Roman" w:hAnsi="Arial" w:cs="Times New Roman"/>
      <w:sz w:val="24"/>
      <w:szCs w:val="20"/>
    </w:rPr>
  </w:style>
  <w:style w:type="paragraph" w:styleId="Footer">
    <w:name w:val="footer"/>
    <w:basedOn w:val="Normal"/>
    <w:link w:val="FooterChar"/>
    <w:uiPriority w:val="99"/>
    <w:unhideWhenUsed/>
    <w:rsid w:val="006F19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9F7"/>
    <w:rPr>
      <w:rFonts w:ascii="Arial" w:eastAsia="Times New Roman" w:hAnsi="Arial" w:cs="Times New Roman"/>
      <w:sz w:val="24"/>
      <w:szCs w:val="20"/>
    </w:rPr>
  </w:style>
  <w:style w:type="paragraph" w:styleId="Title">
    <w:name w:val="Title"/>
    <w:basedOn w:val="Normal"/>
    <w:link w:val="TitleChar"/>
    <w:qFormat/>
    <w:rsid w:val="00862BA9"/>
    <w:pPr>
      <w:spacing w:after="600" w:line="240" w:lineRule="auto"/>
      <w:jc w:val="center"/>
    </w:pPr>
    <w:rPr>
      <w:rFonts w:ascii="Times New Roman" w:hAnsi="Times New Roman"/>
      <w:kern w:val="28"/>
      <w:sz w:val="32"/>
    </w:rPr>
  </w:style>
  <w:style w:type="character" w:customStyle="1" w:styleId="TitleChar">
    <w:name w:val="Title Char"/>
    <w:basedOn w:val="DefaultParagraphFont"/>
    <w:link w:val="Title"/>
    <w:rsid w:val="00862BA9"/>
    <w:rPr>
      <w:rFonts w:ascii="Times New Roman" w:eastAsia="Times New Roman" w:hAnsi="Times New Roman" w:cs="Times New Roman"/>
      <w:kern w:val="28"/>
      <w:sz w:val="32"/>
      <w:szCs w:val="20"/>
    </w:rPr>
  </w:style>
  <w:style w:type="paragraph" w:customStyle="1" w:styleId="linespace">
    <w:name w:val="linespace"/>
    <w:rsid w:val="00862BA9"/>
    <w:pPr>
      <w:spacing w:after="0" w:line="240" w:lineRule="exact"/>
    </w:pPr>
    <w:rPr>
      <w:rFonts w:ascii="Times New Roman" w:eastAsia="Times New Roman" w:hAnsi="Times New Roman" w:cs="Times New Roman"/>
      <w:noProof/>
      <w:sz w:val="20"/>
      <w:szCs w:val="20"/>
    </w:rPr>
  </w:style>
  <w:style w:type="paragraph" w:customStyle="1" w:styleId="Number">
    <w:name w:val="Number"/>
    <w:basedOn w:val="Normal"/>
    <w:next w:val="subject"/>
    <w:rsid w:val="00862BA9"/>
    <w:pPr>
      <w:spacing w:after="320" w:line="240" w:lineRule="auto"/>
      <w:jc w:val="center"/>
    </w:pPr>
    <w:rPr>
      <w:rFonts w:ascii="Times New Roman" w:hAnsi="Times New Roman"/>
      <w:b/>
      <w:sz w:val="32"/>
    </w:rPr>
  </w:style>
  <w:style w:type="paragraph" w:customStyle="1" w:styleId="Banner">
    <w:name w:val="Banner"/>
    <w:next w:val="Number"/>
    <w:rsid w:val="00862BA9"/>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Cs w:val="20"/>
    </w:rPr>
  </w:style>
  <w:style w:type="paragraph" w:customStyle="1" w:styleId="subject">
    <w:name w:val="subject"/>
    <w:basedOn w:val="Normal"/>
    <w:next w:val="Normal"/>
    <w:rsid w:val="00862BA9"/>
    <w:pPr>
      <w:spacing w:after="320" w:line="240" w:lineRule="auto"/>
      <w:jc w:val="center"/>
    </w:pPr>
    <w:rPr>
      <w:rFonts w:ascii="Times New Roman" w:hAnsi="Times New Roman"/>
      <w:b/>
      <w:caps/>
      <w:sz w:val="32"/>
    </w:rPr>
  </w:style>
  <w:style w:type="paragraph" w:customStyle="1" w:styleId="Pre">
    <w:name w:val="Pre"/>
    <w:basedOn w:val="Normal"/>
    <w:rsid w:val="00862BA9"/>
    <w:pPr>
      <w:spacing w:before="360" w:after="0" w:line="220" w:lineRule="atLeast"/>
      <w:jc w:val="both"/>
    </w:pPr>
    <w:rPr>
      <w:rFonts w:ascii="Times New Roman" w:hAnsi="Times New Roman"/>
      <w:sz w:val="21"/>
    </w:rPr>
  </w:style>
  <w:style w:type="paragraph" w:customStyle="1" w:styleId="Coming">
    <w:name w:val="Coming"/>
    <w:basedOn w:val="Normal"/>
    <w:next w:val="Pre"/>
    <w:rsid w:val="00862BA9"/>
    <w:pPr>
      <w:tabs>
        <w:tab w:val="left" w:pos="3232"/>
        <w:tab w:val="left" w:pos="3629"/>
        <w:tab w:val="right" w:pos="6804"/>
      </w:tabs>
      <w:spacing w:after="0" w:line="220" w:lineRule="atLeast"/>
      <w:ind w:left="1711" w:right="1541" w:hanging="170"/>
      <w:jc w:val="both"/>
    </w:pPr>
    <w:rPr>
      <w:rFonts w:ascii="Times New Roman" w:hAnsi="Times New Roman"/>
      <w:i/>
      <w:sz w:val="21"/>
    </w:rPr>
  </w:style>
  <w:style w:type="paragraph" w:customStyle="1" w:styleId="N1">
    <w:name w:val="N1"/>
    <w:basedOn w:val="Normal"/>
    <w:uiPriority w:val="99"/>
    <w:rsid w:val="00862BA9"/>
    <w:pPr>
      <w:numPr>
        <w:numId w:val="10"/>
      </w:numPr>
      <w:spacing w:before="160" w:after="0" w:line="220" w:lineRule="atLeast"/>
      <w:jc w:val="both"/>
    </w:pPr>
    <w:rPr>
      <w:rFonts w:ascii="Times New Roman" w:hAnsi="Times New Roman"/>
      <w:sz w:val="21"/>
    </w:rPr>
  </w:style>
  <w:style w:type="paragraph" w:customStyle="1" w:styleId="H1">
    <w:name w:val="H1"/>
    <w:basedOn w:val="Normal"/>
    <w:next w:val="N1"/>
    <w:rsid w:val="00862BA9"/>
    <w:pPr>
      <w:keepNext/>
      <w:spacing w:before="320" w:after="0" w:line="220" w:lineRule="atLeast"/>
      <w:jc w:val="both"/>
    </w:pPr>
    <w:rPr>
      <w:rFonts w:ascii="Times New Roman" w:hAnsi="Times New Roman"/>
      <w:b/>
      <w:sz w:val="21"/>
    </w:rPr>
  </w:style>
  <w:style w:type="paragraph" w:customStyle="1" w:styleId="N2">
    <w:name w:val="N2"/>
    <w:basedOn w:val="N1"/>
    <w:uiPriority w:val="99"/>
    <w:rsid w:val="00862BA9"/>
    <w:pPr>
      <w:numPr>
        <w:ilvl w:val="1"/>
      </w:numPr>
      <w:spacing w:before="80"/>
    </w:pPr>
  </w:style>
  <w:style w:type="paragraph" w:customStyle="1" w:styleId="N3">
    <w:name w:val="N3"/>
    <w:basedOn w:val="N2"/>
    <w:uiPriority w:val="99"/>
    <w:rsid w:val="00862BA9"/>
    <w:pPr>
      <w:numPr>
        <w:ilvl w:val="2"/>
      </w:numPr>
    </w:pPr>
  </w:style>
  <w:style w:type="paragraph" w:customStyle="1" w:styleId="Laid">
    <w:name w:val="Laid"/>
    <w:basedOn w:val="Normal"/>
    <w:next w:val="Coming"/>
    <w:rsid w:val="00862BA9"/>
    <w:pPr>
      <w:tabs>
        <w:tab w:val="right" w:pos="6804"/>
      </w:tabs>
      <w:spacing w:after="160" w:line="220" w:lineRule="atLeast"/>
      <w:ind w:left="1541" w:right="1541"/>
      <w:jc w:val="both"/>
    </w:pPr>
    <w:rPr>
      <w:rFonts w:ascii="Times New Roman" w:hAnsi="Times New Roman"/>
      <w:i/>
      <w:sz w:val="21"/>
    </w:rPr>
  </w:style>
  <w:style w:type="character" w:customStyle="1" w:styleId="MadeChar">
    <w:name w:val="Made Char"/>
    <w:link w:val="Made"/>
    <w:locked/>
    <w:rsid w:val="00862BA9"/>
    <w:rPr>
      <w:i/>
      <w:sz w:val="21"/>
    </w:rPr>
  </w:style>
  <w:style w:type="paragraph" w:customStyle="1" w:styleId="Made">
    <w:name w:val="Made"/>
    <w:basedOn w:val="Normal"/>
    <w:next w:val="Laid"/>
    <w:link w:val="MadeChar"/>
    <w:rsid w:val="00862BA9"/>
    <w:pPr>
      <w:tabs>
        <w:tab w:val="left" w:pos="2438"/>
        <w:tab w:val="left" w:pos="2835"/>
        <w:tab w:val="left" w:pos="3232"/>
        <w:tab w:val="left" w:pos="3629"/>
        <w:tab w:val="right" w:pos="6804"/>
      </w:tabs>
      <w:spacing w:after="160" w:line="220" w:lineRule="atLeast"/>
      <w:ind w:left="1541" w:right="1541"/>
      <w:jc w:val="both"/>
    </w:pPr>
    <w:rPr>
      <w:rFonts w:asciiTheme="minorHAnsi" w:eastAsiaTheme="minorHAnsi" w:hAnsiTheme="minorHAnsi" w:cstheme="minorBidi"/>
      <w:i/>
      <w:sz w:val="21"/>
      <w:szCs w:val="22"/>
    </w:rPr>
  </w:style>
  <w:style w:type="paragraph" w:customStyle="1" w:styleId="N4">
    <w:name w:val="N4"/>
    <w:basedOn w:val="N3"/>
    <w:uiPriority w:val="99"/>
    <w:rsid w:val="00862BA9"/>
    <w:pPr>
      <w:numPr>
        <w:ilvl w:val="3"/>
      </w:numPr>
    </w:pPr>
  </w:style>
  <w:style w:type="paragraph" w:customStyle="1" w:styleId="N5">
    <w:name w:val="N5"/>
    <w:basedOn w:val="N4"/>
    <w:uiPriority w:val="99"/>
    <w:rsid w:val="00862BA9"/>
    <w:pPr>
      <w:numPr>
        <w:ilvl w:val="4"/>
      </w:numPr>
    </w:pPr>
  </w:style>
  <w:style w:type="paragraph" w:customStyle="1" w:styleId="SigBlock">
    <w:name w:val="SigBlock"/>
    <w:basedOn w:val="Normal"/>
    <w:rsid w:val="00862BA9"/>
    <w:pPr>
      <w:keepLines/>
      <w:tabs>
        <w:tab w:val="right" w:pos="8280"/>
      </w:tabs>
      <w:spacing w:after="0" w:line="220" w:lineRule="atLeast"/>
    </w:pPr>
    <w:rPr>
      <w:rFonts w:ascii="Times New Roman" w:hAnsi="Times New Roman"/>
      <w:sz w:val="21"/>
    </w:rPr>
  </w:style>
  <w:style w:type="paragraph" w:customStyle="1" w:styleId="XNote">
    <w:name w:val="X_Note"/>
    <w:basedOn w:val="Normal"/>
    <w:rsid w:val="00862BA9"/>
    <w:pPr>
      <w:keepNext/>
      <w:spacing w:line="220" w:lineRule="atLeast"/>
      <w:jc w:val="center"/>
    </w:pPr>
    <w:rPr>
      <w:rFonts w:ascii="Times New Roman" w:hAnsi="Times New Roman"/>
      <w:b/>
      <w:sz w:val="21"/>
    </w:rPr>
  </w:style>
  <w:style w:type="paragraph" w:customStyle="1" w:styleId="XNotenote">
    <w:name w:val="X_Note_note"/>
    <w:basedOn w:val="Normal"/>
    <w:next w:val="Normal"/>
    <w:rsid w:val="00862BA9"/>
    <w:pPr>
      <w:keepNext/>
      <w:spacing w:line="220" w:lineRule="atLeast"/>
      <w:jc w:val="center"/>
    </w:pPr>
    <w:rPr>
      <w:rFonts w:ascii="Times New Roman" w:hAnsi="Times New Roman"/>
      <w:i/>
      <w:sz w:val="21"/>
    </w:rPr>
  </w:style>
  <w:style w:type="character" w:customStyle="1" w:styleId="SigAdd">
    <w:name w:val="Sig_Add"/>
    <w:basedOn w:val="DefaultParagraphFont"/>
    <w:rsid w:val="00862BA9"/>
  </w:style>
  <w:style w:type="character" w:customStyle="1" w:styleId="SigDate">
    <w:name w:val="Sig_Date"/>
    <w:basedOn w:val="DefaultParagraphFont"/>
    <w:rsid w:val="00862BA9"/>
  </w:style>
  <w:style w:type="character" w:customStyle="1" w:styleId="Sigtitle">
    <w:name w:val="Sig_title"/>
    <w:basedOn w:val="DefaultParagraphFont"/>
    <w:rsid w:val="00862BA9"/>
  </w:style>
  <w:style w:type="character" w:styleId="BookTitle">
    <w:name w:val="Book Title"/>
    <w:basedOn w:val="DefaultParagraphFont"/>
    <w:uiPriority w:val="33"/>
    <w:qFormat/>
    <w:rsid w:val="0033362A"/>
    <w:rPr>
      <w:b/>
      <w:bCs/>
      <w:smallCaps/>
      <w:spacing w:val="5"/>
    </w:rPr>
  </w:style>
  <w:style w:type="paragraph" w:styleId="TOCHeading">
    <w:name w:val="TOC Heading"/>
    <w:basedOn w:val="Heading1"/>
    <w:next w:val="Normal"/>
    <w:uiPriority w:val="39"/>
    <w:unhideWhenUsed/>
    <w:qFormat/>
    <w:rsid w:val="0033362A"/>
    <w:pPr>
      <w:keepNext/>
      <w:keepLines/>
      <w:tabs>
        <w:tab w:val="clear" w:pos="720"/>
        <w:tab w:val="clear" w:pos="1440"/>
        <w:tab w:val="clear" w:pos="2160"/>
        <w:tab w:val="clear" w:pos="2880"/>
        <w:tab w:val="clear" w:pos="4680"/>
        <w:tab w:val="clear" w:pos="5400"/>
        <w:tab w:val="clear" w:pos="9000"/>
      </w:tabs>
      <w:spacing w:before="480" w:line="276" w:lineRule="auto"/>
      <w:ind w:left="0"/>
      <w:jc w:val="left"/>
      <w:outlineLvl w:val="9"/>
    </w:pPr>
    <w:rPr>
      <w:rFonts w:asciiTheme="majorHAnsi" w:eastAsiaTheme="majorEastAsia" w:hAnsiTheme="majorHAnsi" w:cstheme="majorBidi"/>
      <w:b/>
      <w:bCs/>
      <w:color w:val="365F91" w:themeColor="accent1" w:themeShade="BF"/>
      <w:kern w:val="0"/>
      <w:sz w:val="28"/>
      <w:szCs w:val="28"/>
      <w:lang w:val="en-US" w:eastAsia="ja-JP"/>
    </w:rPr>
  </w:style>
  <w:style w:type="paragraph" w:styleId="TOC1">
    <w:name w:val="toc 1"/>
    <w:basedOn w:val="Normal"/>
    <w:next w:val="Normal"/>
    <w:autoRedefine/>
    <w:uiPriority w:val="39"/>
    <w:unhideWhenUsed/>
    <w:qFormat/>
    <w:rsid w:val="0033362A"/>
    <w:pPr>
      <w:spacing w:after="100"/>
    </w:pPr>
  </w:style>
  <w:style w:type="paragraph" w:styleId="TOC2">
    <w:name w:val="toc 2"/>
    <w:basedOn w:val="Normal"/>
    <w:next w:val="Normal"/>
    <w:autoRedefine/>
    <w:uiPriority w:val="39"/>
    <w:unhideWhenUsed/>
    <w:qFormat/>
    <w:rsid w:val="0033362A"/>
    <w:pPr>
      <w:spacing w:after="100"/>
      <w:ind w:left="240"/>
    </w:pPr>
  </w:style>
  <w:style w:type="paragraph" w:styleId="TOC3">
    <w:name w:val="toc 3"/>
    <w:basedOn w:val="Normal"/>
    <w:next w:val="Normal"/>
    <w:autoRedefine/>
    <w:uiPriority w:val="39"/>
    <w:unhideWhenUsed/>
    <w:qFormat/>
    <w:rsid w:val="0033362A"/>
    <w:pPr>
      <w:spacing w:after="100"/>
      <w:ind w:left="480"/>
    </w:pPr>
  </w:style>
  <w:style w:type="paragraph" w:customStyle="1" w:styleId="T1">
    <w:name w:val="T1"/>
    <w:basedOn w:val="Normal"/>
    <w:rsid w:val="00023091"/>
    <w:pPr>
      <w:spacing w:before="160" w:after="0" w:line="220" w:lineRule="atLeast"/>
      <w:jc w:val="both"/>
    </w:pPr>
    <w:rPr>
      <w:rFonts w:ascii="Times New Roman" w:hAnsi="Times New Roman"/>
      <w:sz w:val="21"/>
    </w:rPr>
  </w:style>
  <w:style w:type="character" w:customStyle="1" w:styleId="SigSignee">
    <w:name w:val="Sig_Signee"/>
    <w:rsid w:val="00023091"/>
    <w:rPr>
      <w:i/>
      <w:iCs w:val="0"/>
    </w:rPr>
  </w:style>
  <w:style w:type="paragraph" w:customStyle="1" w:styleId="Draft">
    <w:name w:val="Draft"/>
    <w:basedOn w:val="Normal"/>
    <w:rsid w:val="006A7BBE"/>
    <w:pPr>
      <w:spacing w:after="240" w:line="220" w:lineRule="atLeast"/>
      <w:jc w:val="both"/>
    </w:pPr>
    <w:rPr>
      <w:rFonts w:ascii="Times New Roman" w:hAnsi="Times New Roman"/>
      <w:i/>
      <w:sz w:val="21"/>
    </w:rPr>
  </w:style>
  <w:style w:type="character" w:styleId="CommentReference">
    <w:name w:val="annotation reference"/>
    <w:basedOn w:val="DefaultParagraphFont"/>
    <w:uiPriority w:val="99"/>
    <w:semiHidden/>
    <w:unhideWhenUsed/>
    <w:rsid w:val="00695242"/>
    <w:rPr>
      <w:sz w:val="16"/>
      <w:szCs w:val="16"/>
    </w:rPr>
  </w:style>
  <w:style w:type="paragraph" w:styleId="CommentText">
    <w:name w:val="annotation text"/>
    <w:basedOn w:val="Normal"/>
    <w:link w:val="CommentTextChar"/>
    <w:uiPriority w:val="99"/>
    <w:semiHidden/>
    <w:unhideWhenUsed/>
    <w:rsid w:val="00695242"/>
    <w:pPr>
      <w:spacing w:line="240" w:lineRule="auto"/>
    </w:pPr>
    <w:rPr>
      <w:sz w:val="20"/>
    </w:rPr>
  </w:style>
  <w:style w:type="character" w:customStyle="1" w:styleId="CommentTextChar">
    <w:name w:val="Comment Text Char"/>
    <w:basedOn w:val="DefaultParagraphFont"/>
    <w:link w:val="CommentText"/>
    <w:uiPriority w:val="99"/>
    <w:semiHidden/>
    <w:rsid w:val="0069524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95242"/>
    <w:rPr>
      <w:b/>
      <w:bCs/>
    </w:rPr>
  </w:style>
  <w:style w:type="character" w:customStyle="1" w:styleId="CommentSubjectChar">
    <w:name w:val="Comment Subject Char"/>
    <w:basedOn w:val="CommentTextChar"/>
    <w:link w:val="CommentSubject"/>
    <w:uiPriority w:val="99"/>
    <w:semiHidden/>
    <w:rsid w:val="00695242"/>
    <w:rPr>
      <w:rFonts w:ascii="Arial" w:eastAsia="Times New Roman" w:hAnsi="Arial" w:cs="Times New Roman"/>
      <w:b/>
      <w:bCs/>
      <w:sz w:val="20"/>
      <w:szCs w:val="20"/>
    </w:rPr>
  </w:style>
  <w:style w:type="table" w:styleId="TableGrid">
    <w:name w:val="Table Grid"/>
    <w:basedOn w:val="TableNormal"/>
    <w:uiPriority w:val="59"/>
    <w:rsid w:val="00ED50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96307">
      <w:bodyDiv w:val="1"/>
      <w:marLeft w:val="0"/>
      <w:marRight w:val="0"/>
      <w:marTop w:val="0"/>
      <w:marBottom w:val="0"/>
      <w:divBdr>
        <w:top w:val="none" w:sz="0" w:space="0" w:color="auto"/>
        <w:left w:val="none" w:sz="0" w:space="0" w:color="auto"/>
        <w:bottom w:val="none" w:sz="0" w:space="0" w:color="auto"/>
        <w:right w:val="none" w:sz="0" w:space="0" w:color="auto"/>
      </w:divBdr>
    </w:div>
    <w:div w:id="261188423">
      <w:bodyDiv w:val="1"/>
      <w:marLeft w:val="0"/>
      <w:marRight w:val="0"/>
      <w:marTop w:val="0"/>
      <w:marBottom w:val="0"/>
      <w:divBdr>
        <w:top w:val="none" w:sz="0" w:space="0" w:color="auto"/>
        <w:left w:val="none" w:sz="0" w:space="0" w:color="auto"/>
        <w:bottom w:val="none" w:sz="0" w:space="0" w:color="auto"/>
        <w:right w:val="none" w:sz="0" w:space="0" w:color="auto"/>
      </w:divBdr>
    </w:div>
    <w:div w:id="108097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eg"/><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onsult.scotland.gov.uk/tribunals-administrative-justice-policy/tribunals-scotland-act-2014-draft-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A19310293</value>
    </field>
    <field name="Objective-Title">
      <value order="0">ASNTS transfer - consultation report</value>
    </field>
    <field name="Objective-Description">
      <value order="0"/>
    </field>
    <field name="Objective-CreationStamp">
      <value order="0">2017-10-31T14:17:35Z</value>
    </field>
    <field name="Objective-IsApproved">
      <value order="0">false</value>
    </field>
    <field name="Objective-IsPublished">
      <value order="0">false</value>
    </field>
    <field name="Objective-DatePublished">
      <value order="0"/>
    </field>
    <field name="Objective-ModificationStamp">
      <value order="0">2017-11-03T08:46:40Z</value>
    </field>
    <field name="Objective-Owner">
      <value order="0">Frodsham, Hannah H (U419397)</value>
    </field>
    <field name="Objective-Path">
      <value order="0">Objective Global Folder:SG File Plan:Crime, law, justice and rights:Justice system:General:Advice and policy: Justice system - general:Tribunals: Tribunals (Scotland) Act 2014 Consultations: 2015-2020</value>
    </field>
    <field name="Objective-Parent">
      <value order="0">Tribunals: Tribunals (Scotland) Act 2014 Consultations: 2015-2020</value>
    </field>
    <field name="Objective-State">
      <value order="0">Being Drafted</value>
    </field>
    <field name="Objective-VersionId">
      <value order="0">vA26939037</value>
    </field>
    <field name="Objective-Version">
      <value order="0">0.5</value>
    </field>
    <field name="Objective-VersionNumber">
      <value order="0">5</value>
    </field>
    <field name="Objective-VersionComment">
      <value order="0"/>
    </field>
    <field name="Objective-FileNumber">
      <value order="0">qA510808</value>
    </field>
    <field name="Objective-Classification">
      <value order="0">OFFICIAL-SENSITIVE</value>
    </field>
    <field name="Objective-Caveats">
      <value order="0">Caveat for access to SG Fileplan</value>
    </field>
  </systemFields>
  <catalogues>
    <catalogue name="Document Type Catalogue" type="type" ori="id:cA35">
      <field name="Objective-Connect Creator">
        <value order="0"/>
      </field>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20ACFE57-DC27-4ED3-97F5-1D6E68011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2136</Words>
  <Characters>12179</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u203871</dc:creator>
  <cp:lastModifiedBy>U441921</cp:lastModifiedBy>
  <cp:revision>2</cp:revision>
  <cp:lastPrinted>2016-12-15T09:31:00Z</cp:lastPrinted>
  <dcterms:created xsi:type="dcterms:W3CDTF">2017-11-03T10:34:00Z</dcterms:created>
  <dcterms:modified xsi:type="dcterms:W3CDTF">2017-11-03T10:34:00Z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A19310293</vt:lpwstr>
  </property>
  <property fmtid="{D5CDD505-2E9C-101B-9397-08002B2CF9AE}" pid="4" name="Objective-Title">
    <vt:lpwstr>ASNTS transfer - consultation report</vt:lpwstr>
  </property>
  <property fmtid="{D5CDD505-2E9C-101B-9397-08002B2CF9AE}" pid="5" name="Objective-Comment">
    <vt:lpwstr>
    </vt:lpwstr>
  </property>
  <property fmtid="{D5CDD505-2E9C-101B-9397-08002B2CF9AE}" pid="6" name="Objective-CreationStamp">
    <vt:filetime>2017-10-31T14:17:43Z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2017-11-03T08:46:42Z</vt:filetime>
  </property>
  <property fmtid="{D5CDD505-2E9C-101B-9397-08002B2CF9AE}" pid="11" name="Objective-Owner">
    <vt:lpwstr>Frodsham, Hannah H (U419397)</vt:lpwstr>
  </property>
  <property fmtid="{D5CDD505-2E9C-101B-9397-08002B2CF9AE}" pid="12" name="Objective-Path">
    <vt:lpwstr>Objective Global Folder:SG File Plan:Crime, law, justice and rights:Justice system:General:Advice and policy: Justice system - general:Tribunals: Tribunals (Scotland) Act 2014 Consultations: 2015-2020:</vt:lpwstr>
  </property>
  <property fmtid="{D5CDD505-2E9C-101B-9397-08002B2CF9AE}" pid="13" name="Objective-Parent">
    <vt:lpwstr>Tribunals: Tribunals (Scotland) Act 2014 Consultations: 2015-2020</vt:lpwstr>
  </property>
  <property fmtid="{D5CDD505-2E9C-101B-9397-08002B2CF9AE}" pid="14" name="Objective-State">
    <vt:lpwstr>Being Drafted</vt:lpwstr>
  </property>
  <property fmtid="{D5CDD505-2E9C-101B-9397-08002B2CF9AE}" pid="15" name="Objective-Version">
    <vt:lpwstr>0.5</vt:lpwstr>
  </property>
  <property fmtid="{D5CDD505-2E9C-101B-9397-08002B2CF9AE}" pid="16" name="Objective-VersionNumber">
    <vt:r8>5</vt:r8>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OFFICIAL-SENSITIVE]</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y fmtid="{D5CDD505-2E9C-101B-9397-08002B2CF9AE}" pid="25" name="Objective-Description">
    <vt:lpwstr>
    </vt:lpwstr>
  </property>
  <property fmtid="{D5CDD505-2E9C-101B-9397-08002B2CF9AE}" pid="26" name="Objective-VersionId">
    <vt:lpwstr>vA26939037</vt:lpwstr>
  </property>
  <property fmtid="{D5CDD505-2E9C-101B-9397-08002B2CF9AE}" pid="27" name="Objective-Connect Creator">
    <vt:lpwstr>
    </vt:lpwstr>
  </property>
  <property fmtid="{D5CDD505-2E9C-101B-9397-08002B2CF9AE}" pid="28" name="Objective-Date Received">
    <vt:lpwstr>
    </vt:lpwstr>
  </property>
  <property fmtid="{D5CDD505-2E9C-101B-9397-08002B2CF9AE}" pid="29" name="Objective-Date of Original">
    <vt:lpwstr>
    </vt:lpwstr>
  </property>
  <property fmtid="{D5CDD505-2E9C-101B-9397-08002B2CF9AE}" pid="30" name="Objective-SG Web Publication - Category">
    <vt:lpwstr>
    </vt:lpwstr>
  </property>
  <property fmtid="{D5CDD505-2E9C-101B-9397-08002B2CF9AE}" pid="31" name="Objective-SG Web Publication - Category 2 Classification">
    <vt:lpwstr>
    </vt:lpwstr>
  </property>
  <property fmtid="{D5CDD505-2E9C-101B-9397-08002B2CF9AE}" pid="32" name="Objective-Connect Creator [system]">
    <vt:lpwstr>
    </vt:lpwstr>
  </property>
</Properties>
</file>