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F6" w:rsidRDefault="000E22F6" w:rsidP="000E22F6">
      <w:pPr>
        <w:spacing w:line="240" w:lineRule="auto"/>
        <w:ind w:left="360"/>
        <w:rPr>
          <w:rStyle w:val="Strong"/>
          <w:rFonts w:cs="Arial"/>
          <w:szCs w:val="24"/>
        </w:rPr>
      </w:pPr>
      <w:bookmarkStart w:id="0" w:name="_GoBack"/>
      <w:bookmarkEnd w:id="0"/>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B927FE">
      <w:pPr>
        <w:spacing w:line="240" w:lineRule="auto"/>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59264" behindDoc="0" locked="0" layoutInCell="1" allowOverlap="1" wp14:anchorId="2C97313D" wp14:editId="3F48AD67">
                <wp:simplePos x="0" y="0"/>
                <wp:positionH relativeFrom="margin">
                  <wp:align>center</wp:align>
                </wp:positionH>
                <wp:positionV relativeFrom="paragraph">
                  <wp:posOffset>22860</wp:posOffset>
                </wp:positionV>
                <wp:extent cx="6886575" cy="38481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886575" cy="3848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677F21" w:rsidP="00862BA9">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Consultation on Draft Regulations that Prescribe Eligibility Criteria for Appointment to the Scottish Tribunals</w:t>
                            </w:r>
                          </w:p>
                          <w:p w:rsidR="00677F21" w:rsidRDefault="00677F21"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8pt;width:542.25pt;height:30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" fillcolor="white [3201]" stroked="f" strokeweight=".5pt">
                <v:textbox>
                  <w:txbxContent>
                    <w:p w:rsidR="007B013A" w:rsidRDefault="00677F21" w:rsidP="00862BA9">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Consultation on Draft Regulations that Prescribe Eligibility Criteria for Appointment to the Scottish Tribunals</w:t>
                      </w:r>
                    </w:p>
                    <w:p w:rsidR="00677F21" w:rsidRDefault="00677F21"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v:textbox>
                <w10:wrap anchorx="margin"/>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60288" behindDoc="0" locked="0" layoutInCell="1" allowOverlap="1" wp14:anchorId="652A1DB8" wp14:editId="1BC2F7C9">
                <wp:simplePos x="0" y="0"/>
                <wp:positionH relativeFrom="column">
                  <wp:posOffset>4762500</wp:posOffset>
                </wp:positionH>
                <wp:positionV relativeFrom="paragraph">
                  <wp:posOffset>105410</wp:posOffset>
                </wp:positionV>
                <wp:extent cx="148590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7B013A">
                            <w:r>
                              <w:rPr>
                                <w:rFonts w:cs="Arial"/>
                                <w:b/>
                                <w:bCs/>
                                <w:noProof/>
                                <w:szCs w:val="24"/>
                                <w:lang w:eastAsia="en-GB"/>
                              </w:rPr>
                              <w:drawing>
                                <wp:inline distT="0" distB="0" distL="0" distR="0" wp14:anchorId="0E41AD6B" wp14:editId="08A68D7C">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75pt;margin-top:8.3pt;width:117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" filled="f" stroked="f" strokeweight=".5pt">
                <v:textbox>
                  <w:txbxContent>
                    <w:p w:rsidR="007B013A" w:rsidRDefault="007B013A">
                      <w:r>
                        <w:rPr>
                          <w:rFonts w:cs="Arial"/>
                          <w:b/>
                          <w:bCs/>
                          <w:noProof/>
                          <w:szCs w:val="24"/>
                          <w:lang w:eastAsia="en-GB"/>
                        </w:rPr>
                        <w:drawing>
                          <wp:inline distT="0" distB="0" distL="0" distR="0" wp14:anchorId="0E41AD6B" wp14:editId="08A68D7C">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v:textbox>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Fonts w:cs="Arial"/>
          <w:b/>
          <w:bCs/>
          <w:noProof/>
          <w:szCs w:val="24"/>
          <w:lang w:eastAsia="en-GB"/>
        </w:rPr>
      </w:pPr>
    </w:p>
    <w:p w:rsidR="0033362A" w:rsidRDefault="00677F21" w:rsidP="000E22F6">
      <w:pPr>
        <w:spacing w:line="240" w:lineRule="auto"/>
        <w:ind w:left="360"/>
        <w:rPr>
          <w:rStyle w:val="Strong"/>
          <w:rFonts w:cs="Arial"/>
          <w:szCs w:val="24"/>
        </w:rPr>
      </w:pPr>
      <w:r w:rsidRPr="00677F21">
        <w:rPr>
          <w:rFonts w:cs="Arial"/>
          <w:b/>
          <w:bCs/>
          <w:noProof/>
          <w:szCs w:val="24"/>
          <w:lang w:eastAsia="en-GB"/>
        </w:rPr>
        <mc:AlternateContent>
          <mc:Choice Requires="wps">
            <w:drawing>
              <wp:anchor distT="0" distB="0" distL="114300" distR="114300" simplePos="0" relativeHeight="251671552" behindDoc="0" locked="0" layoutInCell="1" allowOverlap="1" wp14:anchorId="60B48CB6" wp14:editId="09870CF8">
                <wp:simplePos x="0" y="0"/>
                <wp:positionH relativeFrom="column">
                  <wp:posOffset>-585470</wp:posOffset>
                </wp:positionH>
                <wp:positionV relativeFrom="paragraph">
                  <wp:posOffset>24765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7F21" w:rsidRDefault="00677F21">
                            <w:r>
                              <w:t>January 2016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left:0;text-align:left;margin-left:-46.1pt;margin-top:1.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" stroked="f">
                <v:textbox style="mso-fit-shape-to-text:t">
                  <w:txbxContent>
                    <w:p w:rsidR="00677F21" w:rsidRDefault="00677F21">
                      <w:r>
                        <w:t>January 2016</w:t>
                      </w:r>
                    </w:p>
                  </w:txbxContent>
                </v:textbox>
              </v:shape>
            </w:pict>
          </mc:Fallback>
        </mc:AlternateContent>
      </w:r>
    </w:p>
    <w:p w:rsidR="0033362A" w:rsidRDefault="0033362A" w:rsidP="0033362A">
      <w:pPr>
        <w:rPr>
          <w:rStyle w:val="Strong"/>
          <w:rFonts w:cs="Arial"/>
          <w:szCs w:val="24"/>
        </w:rPr>
      </w:pPr>
      <w:r>
        <w:rPr>
          <w:rStyle w:val="Strong"/>
          <w:rFonts w:cs="Arial"/>
          <w:szCs w:val="24"/>
        </w:rPr>
        <w:br w:type="page"/>
      </w:r>
    </w:p>
    <w:p w:rsidR="00326BBC" w:rsidRDefault="00326BBC" w:rsidP="00326BBC">
      <w:pPr>
        <w:spacing w:after="200"/>
        <w:rPr>
          <w:rStyle w:val="Strong"/>
          <w:rFonts w:cs="Arial"/>
          <w:szCs w:val="24"/>
        </w:rPr>
      </w:pPr>
      <w:r>
        <w:rPr>
          <w:rStyle w:val="Strong"/>
          <w:rFonts w:cs="Arial"/>
          <w:szCs w:val="24"/>
        </w:rPr>
        <w:lastRenderedPageBreak/>
        <w:tab/>
      </w:r>
      <w:r>
        <w:rPr>
          <w:rStyle w:val="Strong"/>
          <w:rFonts w:cs="Arial"/>
          <w:szCs w:val="24"/>
        </w:rPr>
        <w:tab/>
      </w:r>
      <w:r>
        <w:rPr>
          <w:rStyle w:val="Strong"/>
          <w:rFonts w:cs="Arial"/>
          <w:szCs w:val="24"/>
        </w:rPr>
        <w:tab/>
      </w:r>
      <w:r>
        <w:rPr>
          <w:rStyle w:val="Strong"/>
          <w:rFonts w:cs="Arial"/>
          <w:szCs w:val="24"/>
        </w:rPr>
        <w:tab/>
      </w:r>
      <w:r w:rsidR="00B1191D">
        <w:rPr>
          <w:rStyle w:val="Strong"/>
          <w:rFonts w:cs="Arial"/>
          <w:szCs w:val="24"/>
        </w:rPr>
        <w:t>Table of Contents</w:t>
      </w:r>
    </w:p>
    <w:p w:rsidR="00B1191D" w:rsidRDefault="00B1191D" w:rsidP="00326BBC">
      <w:pPr>
        <w:spacing w:after="200"/>
        <w:rPr>
          <w:rStyle w:val="Strong"/>
          <w:rFonts w:cs="Arial"/>
          <w:szCs w:val="24"/>
        </w:rPr>
      </w:pPr>
    </w:p>
    <w:p w:rsidR="00326BBC" w:rsidRDefault="00326BBC"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Pr="00326BBC" w:rsidRDefault="00B1191D" w:rsidP="00326BBC">
      <w:pPr>
        <w:spacing w:after="200"/>
        <w:rPr>
          <w:rStyle w:val="Strong"/>
          <w:rFonts w:cs="Arial"/>
          <w:b w:val="0"/>
          <w:szCs w:val="24"/>
        </w:rPr>
      </w:pPr>
    </w:p>
    <w:p w:rsidR="00326BBC" w:rsidRDefault="00B1191D">
      <w:pPr>
        <w:spacing w:after="200"/>
        <w:rPr>
          <w:rStyle w:val="Strong"/>
          <w:rFonts w:cs="Arial"/>
          <w:b w:val="0"/>
          <w:szCs w:val="24"/>
        </w:rPr>
      </w:pPr>
      <w:r>
        <w:rPr>
          <w:rStyle w:val="Strong"/>
          <w:rFonts w:cs="Arial"/>
          <w:szCs w:val="24"/>
        </w:rPr>
        <w:tab/>
      </w:r>
      <w:r>
        <w:rPr>
          <w:rStyle w:val="Strong"/>
          <w:rFonts w:cs="Arial"/>
          <w:szCs w:val="24"/>
        </w:rPr>
        <w:tab/>
      </w:r>
      <w:r>
        <w:rPr>
          <w:rStyle w:val="Strong"/>
          <w:rFonts w:cs="Arial"/>
          <w:szCs w:val="24"/>
        </w:rPr>
        <w:tab/>
      </w:r>
      <w:r>
        <w:rPr>
          <w:rStyle w:val="Strong"/>
          <w:rFonts w:cs="Arial"/>
          <w:b w:val="0"/>
          <w:szCs w:val="24"/>
        </w:rPr>
        <w:t>Background</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Consultation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Analysis of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4</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Next Steps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5</w:t>
      </w:r>
    </w:p>
    <w:p w:rsidR="00B1191D" w:rsidRPr="00B1191D" w:rsidRDefault="00B1191D">
      <w:pPr>
        <w:spacing w:after="200"/>
        <w:rPr>
          <w:rStyle w:val="Strong"/>
          <w:rFonts w:cs="Arial"/>
          <w:b w:val="0"/>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rsidP="00326BBC">
      <w:pPr>
        <w:spacing w:after="200"/>
        <w:rPr>
          <w:rStyle w:val="Strong"/>
          <w:rFonts w:cs="Arial"/>
          <w:szCs w:val="24"/>
        </w:rPr>
      </w:pPr>
      <w:r>
        <w:rPr>
          <w:rStyle w:val="Strong"/>
          <w:rFonts w:cs="Arial"/>
          <w:szCs w:val="24"/>
        </w:rPr>
        <w:br w:type="page"/>
      </w:r>
    </w:p>
    <w:p w:rsidR="00023091" w:rsidRPr="00326BBC" w:rsidRDefault="00677F21" w:rsidP="00326BBC">
      <w:pPr>
        <w:spacing w:after="200"/>
        <w:rPr>
          <w:rFonts w:cs="Arial"/>
          <w:b/>
          <w:bCs/>
          <w:szCs w:val="24"/>
        </w:rPr>
      </w:pPr>
      <w:proofErr w:type="gramStart"/>
      <w:r>
        <w:rPr>
          <w:rFonts w:cs="Arial"/>
          <w:b/>
          <w:szCs w:val="24"/>
        </w:rPr>
        <w:lastRenderedPageBreak/>
        <w:t>ANALYSIS OF RESPONSES TO THE CONSULTATION ON DRAFT REGULATIONS THAT PRESCRIBE ELIGIBILITY CRITERIA FOR APPOINTMENT TO THE SCOTTISH TRIBUNALS.</w:t>
      </w:r>
      <w:proofErr w:type="gramEnd"/>
      <w:r>
        <w:rPr>
          <w:rFonts w:cs="Arial"/>
          <w:b/>
          <w:szCs w:val="24"/>
        </w:rPr>
        <w:t xml:space="preserve"> </w:t>
      </w:r>
    </w:p>
    <w:p w:rsidR="00023091" w:rsidRDefault="00023091" w:rsidP="00023091">
      <w:pPr>
        <w:pStyle w:val="ListParagraph"/>
        <w:ind w:left="465"/>
        <w:jc w:val="both"/>
        <w:rPr>
          <w:rFonts w:ascii="Arial" w:hAnsi="Arial" w:cs="Arial"/>
          <w:sz w:val="24"/>
          <w:szCs w:val="24"/>
        </w:rPr>
      </w:pPr>
    </w:p>
    <w:p w:rsidR="00023091" w:rsidRPr="00454558" w:rsidRDefault="00023091" w:rsidP="00023091">
      <w:pPr>
        <w:rPr>
          <w:rFonts w:cs="Arial"/>
          <w:b/>
          <w:szCs w:val="24"/>
        </w:rPr>
      </w:pPr>
      <w:r w:rsidRPr="00454558">
        <w:rPr>
          <w:rFonts w:cs="Arial"/>
          <w:b/>
          <w:szCs w:val="24"/>
        </w:rPr>
        <w:t>Background</w:t>
      </w:r>
    </w:p>
    <w:p w:rsidR="00677F21" w:rsidRDefault="00677F21" w:rsidP="00677F21">
      <w:pPr>
        <w:pStyle w:val="ListParagraph"/>
        <w:numPr>
          <w:ilvl w:val="0"/>
          <w:numId w:val="12"/>
        </w:numPr>
        <w:rPr>
          <w:rFonts w:ascii="Arial" w:hAnsi="Arial" w:cs="Arial"/>
          <w:sz w:val="24"/>
          <w:szCs w:val="24"/>
        </w:rPr>
      </w:pPr>
      <w:r>
        <w:rPr>
          <w:rFonts w:ascii="Arial" w:hAnsi="Arial" w:cs="Arial"/>
          <w:sz w:val="24"/>
          <w:szCs w:val="24"/>
        </w:rPr>
        <w:t xml:space="preserve">The Scottish Government is in the process of implementing the Tribunals (Scotland) Act 2014 (the 2014 Act) which </w:t>
      </w:r>
      <w:r w:rsidR="00023091" w:rsidRPr="00677F21">
        <w:rPr>
          <w:rFonts w:ascii="Arial" w:hAnsi="Arial" w:cs="Arial"/>
          <w:sz w:val="24"/>
          <w:szCs w:val="24"/>
        </w:rPr>
        <w:t xml:space="preserve">creates a new, simplified statutory framework for tribunals in Scotland, bringing existing tribunal jurisdictions together and providing an organised structure for new jurisdictions. </w:t>
      </w:r>
    </w:p>
    <w:p w:rsidR="00677F21" w:rsidRDefault="00677F21" w:rsidP="00677F21">
      <w:pPr>
        <w:pStyle w:val="ListParagraph"/>
        <w:ind w:left="465"/>
        <w:rPr>
          <w:rFonts w:ascii="Arial" w:hAnsi="Arial" w:cs="Arial"/>
          <w:sz w:val="24"/>
          <w:szCs w:val="24"/>
        </w:rPr>
      </w:pPr>
    </w:p>
    <w:p w:rsidR="0056133A" w:rsidRDefault="00023091" w:rsidP="00677F21">
      <w:pPr>
        <w:pStyle w:val="ListParagraph"/>
        <w:numPr>
          <w:ilvl w:val="0"/>
          <w:numId w:val="12"/>
        </w:numPr>
        <w:rPr>
          <w:rFonts w:ascii="Arial" w:hAnsi="Arial" w:cs="Arial"/>
          <w:sz w:val="24"/>
          <w:szCs w:val="24"/>
        </w:rPr>
      </w:pPr>
      <w:r w:rsidRPr="00677F21">
        <w:rPr>
          <w:rFonts w:ascii="Arial" w:hAnsi="Arial" w:cs="Arial"/>
          <w:sz w:val="24"/>
          <w:szCs w:val="24"/>
        </w:rPr>
        <w:t xml:space="preserve">The </w:t>
      </w:r>
      <w:r w:rsidR="00677F21">
        <w:rPr>
          <w:rFonts w:ascii="Arial" w:hAnsi="Arial" w:cs="Arial"/>
          <w:sz w:val="24"/>
          <w:szCs w:val="24"/>
        </w:rPr>
        <w:t xml:space="preserve">2014 Act </w:t>
      </w:r>
      <w:r w:rsidRPr="00677F21">
        <w:rPr>
          <w:rFonts w:ascii="Arial" w:hAnsi="Arial" w:cs="Arial"/>
          <w:sz w:val="24"/>
          <w:szCs w:val="24"/>
        </w:rPr>
        <w:t>creates two tribunals, the First-tier Tribunal for Scotland</w:t>
      </w:r>
      <w:r w:rsidR="0056133A">
        <w:rPr>
          <w:rFonts w:ascii="Arial" w:hAnsi="Arial" w:cs="Arial"/>
          <w:sz w:val="24"/>
          <w:szCs w:val="24"/>
        </w:rPr>
        <w:t xml:space="preserve"> (First-tier Tribunal)</w:t>
      </w:r>
      <w:r w:rsidRPr="00677F21">
        <w:rPr>
          <w:rFonts w:ascii="Arial" w:hAnsi="Arial" w:cs="Arial"/>
          <w:sz w:val="24"/>
          <w:szCs w:val="24"/>
        </w:rPr>
        <w:t xml:space="preserve"> and the Upper Tribunal for Scotland</w:t>
      </w:r>
      <w:r w:rsidR="0056133A">
        <w:rPr>
          <w:rFonts w:ascii="Arial" w:hAnsi="Arial" w:cs="Arial"/>
          <w:sz w:val="24"/>
          <w:szCs w:val="24"/>
        </w:rPr>
        <w:t xml:space="preserve"> (Upper Tribunal)</w:t>
      </w:r>
      <w:r w:rsidRPr="00677F21">
        <w:rPr>
          <w:rFonts w:ascii="Arial" w:hAnsi="Arial" w:cs="Arial"/>
          <w:sz w:val="24"/>
          <w:szCs w:val="24"/>
        </w:rPr>
        <w:t>, known collectively as the Scottish Tribunals.</w:t>
      </w:r>
      <w:r w:rsidR="00677F21" w:rsidRPr="00677F21">
        <w:rPr>
          <w:rFonts w:ascii="Arial" w:hAnsi="Arial" w:cs="Arial"/>
          <w:sz w:val="24"/>
          <w:szCs w:val="24"/>
        </w:rPr>
        <w:t xml:space="preserve"> In due course all of the devolved tribunal jurisdictions will transfer</w:t>
      </w:r>
      <w:r w:rsidR="002E15A9">
        <w:rPr>
          <w:rFonts w:ascii="Arial" w:hAnsi="Arial" w:cs="Arial"/>
          <w:sz w:val="24"/>
          <w:szCs w:val="24"/>
        </w:rPr>
        <w:t>-</w:t>
      </w:r>
      <w:r w:rsidR="00677F21" w:rsidRPr="00677F21">
        <w:rPr>
          <w:rFonts w:ascii="Arial" w:hAnsi="Arial" w:cs="Arial"/>
          <w:sz w:val="24"/>
          <w:szCs w:val="24"/>
        </w:rPr>
        <w:t xml:space="preserve">in to the Scottish Tribunals. In the first phase, </w:t>
      </w:r>
      <w:r w:rsidR="0056133A">
        <w:rPr>
          <w:rFonts w:ascii="Arial" w:hAnsi="Arial" w:cs="Arial"/>
          <w:sz w:val="24"/>
          <w:szCs w:val="24"/>
        </w:rPr>
        <w:t>the private rented housing panel, homeowner housing panel and</w:t>
      </w:r>
      <w:r w:rsidR="009B1EAC">
        <w:rPr>
          <w:rFonts w:ascii="Arial" w:hAnsi="Arial" w:cs="Arial"/>
          <w:sz w:val="24"/>
          <w:szCs w:val="24"/>
        </w:rPr>
        <w:t xml:space="preserve"> the</w:t>
      </w:r>
      <w:r w:rsidR="0056133A">
        <w:rPr>
          <w:rFonts w:ascii="Arial" w:hAnsi="Arial" w:cs="Arial"/>
          <w:sz w:val="24"/>
          <w:szCs w:val="24"/>
        </w:rPr>
        <w:t xml:space="preserve"> Scottish </w:t>
      </w:r>
      <w:r w:rsidR="009B1EAC">
        <w:rPr>
          <w:rFonts w:ascii="Arial" w:hAnsi="Arial" w:cs="Arial"/>
          <w:sz w:val="24"/>
          <w:szCs w:val="24"/>
        </w:rPr>
        <w:t>T</w:t>
      </w:r>
      <w:r w:rsidR="0056133A">
        <w:rPr>
          <w:rFonts w:ascii="Arial" w:hAnsi="Arial" w:cs="Arial"/>
          <w:sz w:val="24"/>
          <w:szCs w:val="24"/>
        </w:rPr>
        <w:t xml:space="preserve">ax tribunals will transfer. </w:t>
      </w:r>
    </w:p>
    <w:p w:rsidR="00677F21" w:rsidRPr="00677F21" w:rsidRDefault="00677F21" w:rsidP="00677F21">
      <w:pPr>
        <w:pStyle w:val="ListParagraph"/>
        <w:rPr>
          <w:rFonts w:ascii="Arial" w:hAnsi="Arial" w:cs="Arial"/>
          <w:sz w:val="24"/>
          <w:szCs w:val="24"/>
        </w:rPr>
      </w:pPr>
    </w:p>
    <w:p w:rsidR="0056133A" w:rsidRDefault="00677F21" w:rsidP="0056133A">
      <w:pPr>
        <w:pStyle w:val="ListParagraph"/>
        <w:numPr>
          <w:ilvl w:val="0"/>
          <w:numId w:val="12"/>
        </w:numPr>
        <w:rPr>
          <w:rFonts w:ascii="Arial" w:hAnsi="Arial" w:cs="Arial"/>
          <w:sz w:val="24"/>
          <w:szCs w:val="24"/>
        </w:rPr>
      </w:pPr>
      <w:r>
        <w:rPr>
          <w:rFonts w:ascii="Arial" w:hAnsi="Arial" w:cs="Arial"/>
          <w:sz w:val="24"/>
          <w:szCs w:val="24"/>
        </w:rPr>
        <w:t xml:space="preserve">The Scottish Government ran a consultation between 17 </w:t>
      </w:r>
      <w:proofErr w:type="gramStart"/>
      <w:r>
        <w:rPr>
          <w:rFonts w:ascii="Arial" w:hAnsi="Arial" w:cs="Arial"/>
          <w:sz w:val="24"/>
          <w:szCs w:val="24"/>
        </w:rPr>
        <w:t>July  and</w:t>
      </w:r>
      <w:proofErr w:type="gramEnd"/>
      <w:r>
        <w:rPr>
          <w:rFonts w:ascii="Arial" w:hAnsi="Arial" w:cs="Arial"/>
          <w:sz w:val="24"/>
          <w:szCs w:val="24"/>
        </w:rPr>
        <w:t xml:space="preserve"> 9 October 2015 on draft regulations that prescribe eligibility criteria for appointment to the Scottish Tribunals. </w:t>
      </w:r>
      <w:r w:rsidRPr="0056133A">
        <w:rPr>
          <w:rFonts w:ascii="Arial" w:hAnsi="Arial" w:cs="Arial"/>
          <w:sz w:val="24"/>
          <w:szCs w:val="24"/>
        </w:rPr>
        <w:t>The consultation covered eligibility criteria for ordinary members</w:t>
      </w:r>
      <w:r w:rsidR="007E6F7F">
        <w:rPr>
          <w:rFonts w:ascii="Arial" w:hAnsi="Arial" w:cs="Arial"/>
          <w:sz w:val="24"/>
          <w:szCs w:val="24"/>
        </w:rPr>
        <w:t xml:space="preserve"> in the housing and tax jurisdictions </w:t>
      </w:r>
      <w:r w:rsidR="009B1EAC">
        <w:rPr>
          <w:rFonts w:ascii="Arial" w:hAnsi="Arial" w:cs="Arial"/>
          <w:sz w:val="24"/>
          <w:szCs w:val="24"/>
        </w:rPr>
        <w:t xml:space="preserve">as they </w:t>
      </w:r>
      <w:r w:rsidR="007E6F7F">
        <w:rPr>
          <w:rFonts w:ascii="Arial" w:hAnsi="Arial" w:cs="Arial"/>
          <w:sz w:val="24"/>
          <w:szCs w:val="24"/>
        </w:rPr>
        <w:t xml:space="preserve">will be the first tribunals to transfer into the Scottish Tribunals structure. The consultation </w:t>
      </w:r>
      <w:r w:rsidR="0056133A" w:rsidRPr="0056133A">
        <w:rPr>
          <w:rFonts w:ascii="Arial" w:hAnsi="Arial" w:cs="Arial"/>
          <w:sz w:val="24"/>
          <w:szCs w:val="24"/>
        </w:rPr>
        <w:t>also covered</w:t>
      </w:r>
      <w:r w:rsidR="007E6F7F">
        <w:rPr>
          <w:rFonts w:ascii="Arial" w:hAnsi="Arial" w:cs="Arial"/>
          <w:sz w:val="24"/>
          <w:szCs w:val="24"/>
        </w:rPr>
        <w:t xml:space="preserve"> generic</w:t>
      </w:r>
      <w:r w:rsidR="0056133A" w:rsidRPr="0056133A">
        <w:rPr>
          <w:rFonts w:ascii="Arial" w:hAnsi="Arial" w:cs="Arial"/>
          <w:sz w:val="24"/>
          <w:szCs w:val="24"/>
        </w:rPr>
        <w:t xml:space="preserve"> eligibility criteria for a</w:t>
      </w:r>
      <w:r w:rsidR="007E6F7F">
        <w:rPr>
          <w:rFonts w:ascii="Arial" w:hAnsi="Arial" w:cs="Arial"/>
          <w:sz w:val="24"/>
          <w:szCs w:val="24"/>
        </w:rPr>
        <w:t xml:space="preserve">ppointment as a legal member in </w:t>
      </w:r>
      <w:r w:rsidR="0056133A" w:rsidRPr="0056133A">
        <w:rPr>
          <w:rFonts w:ascii="Arial" w:hAnsi="Arial" w:cs="Arial"/>
          <w:sz w:val="24"/>
          <w:szCs w:val="24"/>
        </w:rPr>
        <w:t>the First-tier Tribunal and Upper Tribunal.</w:t>
      </w:r>
    </w:p>
    <w:p w:rsidR="0056133A" w:rsidRPr="0056133A" w:rsidRDefault="0056133A" w:rsidP="0056133A">
      <w:pPr>
        <w:pStyle w:val="ListParagraph"/>
        <w:rPr>
          <w:rFonts w:ascii="Arial" w:hAnsi="Arial" w:cs="Arial"/>
          <w:sz w:val="24"/>
          <w:szCs w:val="24"/>
        </w:rPr>
      </w:pPr>
    </w:p>
    <w:p w:rsidR="0056133A" w:rsidRDefault="0056133A" w:rsidP="0056133A">
      <w:pPr>
        <w:rPr>
          <w:rFonts w:cs="Arial"/>
          <w:b/>
          <w:szCs w:val="24"/>
        </w:rPr>
      </w:pPr>
      <w:r>
        <w:rPr>
          <w:rFonts w:cs="Arial"/>
          <w:b/>
          <w:szCs w:val="24"/>
        </w:rPr>
        <w:t>Consultation responses</w:t>
      </w:r>
    </w:p>
    <w:p w:rsidR="0056133A" w:rsidRDefault="0056133A" w:rsidP="0056133A">
      <w:pPr>
        <w:rPr>
          <w:rFonts w:cs="Arial"/>
          <w:b/>
          <w:szCs w:val="24"/>
        </w:rPr>
      </w:pPr>
    </w:p>
    <w:p w:rsidR="0056133A" w:rsidRPr="000F5120" w:rsidRDefault="00F94218" w:rsidP="00F94218">
      <w:pPr>
        <w:pStyle w:val="ListParagraph"/>
        <w:numPr>
          <w:ilvl w:val="0"/>
          <w:numId w:val="12"/>
        </w:numPr>
        <w:rPr>
          <w:rFonts w:ascii="Arial" w:hAnsi="Arial" w:cs="Arial"/>
          <w:sz w:val="24"/>
          <w:szCs w:val="24"/>
        </w:rPr>
      </w:pPr>
      <w:r w:rsidRPr="000F5120">
        <w:rPr>
          <w:rFonts w:ascii="Arial" w:hAnsi="Arial" w:cs="Arial"/>
          <w:sz w:val="24"/>
          <w:szCs w:val="24"/>
        </w:rPr>
        <w:t>There were 16 responses to the consultation, seven organisations, four tribunals and five individuals two of whom wished to remain anonymous.</w:t>
      </w:r>
      <w:r w:rsidR="00B52BDE" w:rsidRPr="000F5120">
        <w:rPr>
          <w:rFonts w:ascii="Arial" w:hAnsi="Arial" w:cs="Arial"/>
          <w:sz w:val="24"/>
          <w:szCs w:val="24"/>
        </w:rPr>
        <w:t xml:space="preserve"> The full list of respondents is available in Annex A. </w:t>
      </w:r>
      <w:r w:rsidRPr="000F5120">
        <w:rPr>
          <w:rFonts w:ascii="Arial" w:hAnsi="Arial" w:cs="Arial"/>
          <w:sz w:val="24"/>
          <w:szCs w:val="24"/>
        </w:rPr>
        <w:t xml:space="preserve"> Two of the responses covered the cri</w:t>
      </w:r>
      <w:r w:rsidR="002037DD" w:rsidRPr="000F5120">
        <w:rPr>
          <w:rFonts w:ascii="Arial" w:hAnsi="Arial" w:cs="Arial"/>
          <w:sz w:val="24"/>
          <w:szCs w:val="24"/>
        </w:rPr>
        <w:t xml:space="preserve">teria for ordinary members with housing experience </w:t>
      </w:r>
      <w:r w:rsidRPr="000F5120">
        <w:rPr>
          <w:rFonts w:ascii="Arial" w:hAnsi="Arial" w:cs="Arial"/>
          <w:sz w:val="24"/>
          <w:szCs w:val="24"/>
        </w:rPr>
        <w:t>and three covered eligibility criteria</w:t>
      </w:r>
      <w:r w:rsidR="00B52BDE" w:rsidRPr="000F5120">
        <w:rPr>
          <w:rFonts w:ascii="Arial" w:hAnsi="Arial" w:cs="Arial"/>
          <w:sz w:val="24"/>
          <w:szCs w:val="24"/>
        </w:rPr>
        <w:t xml:space="preserve"> for ordinary members with tax experience</w:t>
      </w:r>
      <w:r w:rsidRPr="000F5120">
        <w:rPr>
          <w:rFonts w:ascii="Arial" w:hAnsi="Arial" w:cs="Arial"/>
          <w:sz w:val="24"/>
          <w:szCs w:val="24"/>
        </w:rPr>
        <w:t xml:space="preserve">. Six responses concerned the generic criteria for legal members across the First-tier Tribunal. </w:t>
      </w:r>
    </w:p>
    <w:p w:rsidR="00B52BDE" w:rsidRPr="000F5120" w:rsidRDefault="00B52BDE" w:rsidP="00B52BDE">
      <w:pPr>
        <w:pStyle w:val="ListParagraph"/>
        <w:ind w:left="465"/>
        <w:rPr>
          <w:rFonts w:ascii="Arial" w:hAnsi="Arial" w:cs="Arial"/>
          <w:sz w:val="24"/>
          <w:szCs w:val="24"/>
        </w:rPr>
      </w:pPr>
    </w:p>
    <w:p w:rsidR="000F5120" w:rsidRDefault="00B52BDE" w:rsidP="00326BBC">
      <w:pPr>
        <w:pStyle w:val="ListParagraph"/>
        <w:numPr>
          <w:ilvl w:val="0"/>
          <w:numId w:val="12"/>
        </w:numPr>
        <w:rPr>
          <w:rFonts w:ascii="Arial" w:hAnsi="Arial" w:cs="Arial"/>
          <w:sz w:val="24"/>
          <w:szCs w:val="24"/>
        </w:rPr>
      </w:pPr>
      <w:r w:rsidRPr="000F5120">
        <w:rPr>
          <w:rFonts w:ascii="Arial" w:hAnsi="Arial" w:cs="Arial"/>
          <w:sz w:val="24"/>
          <w:szCs w:val="24"/>
        </w:rPr>
        <w:t>Due to the relatively small number of responses to each question this analysis relies on consideration of response</w:t>
      </w:r>
      <w:r w:rsidR="00B927FE">
        <w:rPr>
          <w:rFonts w:ascii="Arial" w:hAnsi="Arial" w:cs="Arial"/>
          <w:sz w:val="24"/>
          <w:szCs w:val="24"/>
        </w:rPr>
        <w:t xml:space="preserve">s relating to each set of criteria </w:t>
      </w:r>
      <w:r w:rsidRPr="000F5120">
        <w:rPr>
          <w:rFonts w:ascii="Arial" w:hAnsi="Arial" w:cs="Arial"/>
          <w:sz w:val="24"/>
          <w:szCs w:val="24"/>
        </w:rPr>
        <w:t>rather than an in</w:t>
      </w:r>
      <w:r w:rsidR="002E15A9">
        <w:rPr>
          <w:rFonts w:ascii="Arial" w:hAnsi="Arial" w:cs="Arial"/>
          <w:sz w:val="24"/>
          <w:szCs w:val="24"/>
        </w:rPr>
        <w:t>-</w:t>
      </w:r>
      <w:r w:rsidRPr="000F5120">
        <w:rPr>
          <w:rFonts w:ascii="Arial" w:hAnsi="Arial" w:cs="Arial"/>
          <w:sz w:val="24"/>
          <w:szCs w:val="24"/>
        </w:rPr>
        <w:t xml:space="preserve">depth statistical analysis of the responses. </w:t>
      </w:r>
    </w:p>
    <w:p w:rsidR="00326BBC" w:rsidRPr="00326BBC" w:rsidRDefault="00326BBC" w:rsidP="00326BBC">
      <w:pPr>
        <w:pStyle w:val="ListParagraph"/>
        <w:rPr>
          <w:rFonts w:ascii="Arial" w:hAnsi="Arial" w:cs="Arial"/>
          <w:sz w:val="24"/>
          <w:szCs w:val="24"/>
        </w:rPr>
      </w:pPr>
    </w:p>
    <w:p w:rsidR="00326BBC" w:rsidRPr="00326BBC" w:rsidRDefault="00326BBC" w:rsidP="00326BBC">
      <w:pPr>
        <w:rPr>
          <w:rFonts w:cs="Arial"/>
          <w:szCs w:val="24"/>
        </w:rPr>
      </w:pPr>
    </w:p>
    <w:p w:rsidR="000F5120" w:rsidRDefault="000F5120" w:rsidP="000F5120">
      <w:pPr>
        <w:pStyle w:val="ListParagraph"/>
        <w:ind w:left="465"/>
        <w:rPr>
          <w:rFonts w:ascii="Arial" w:hAnsi="Arial" w:cs="Arial"/>
          <w:sz w:val="24"/>
          <w:szCs w:val="24"/>
        </w:rPr>
      </w:pPr>
    </w:p>
    <w:p w:rsidR="000F5120" w:rsidRDefault="000F5120" w:rsidP="000F5120">
      <w:pPr>
        <w:pStyle w:val="ListParagraph"/>
        <w:ind w:left="465"/>
        <w:rPr>
          <w:rFonts w:ascii="Arial" w:hAnsi="Arial" w:cs="Arial"/>
          <w:b/>
          <w:sz w:val="24"/>
          <w:szCs w:val="24"/>
        </w:rPr>
      </w:pPr>
      <w:r>
        <w:rPr>
          <w:rFonts w:ascii="Arial" w:hAnsi="Arial" w:cs="Arial"/>
          <w:b/>
          <w:sz w:val="24"/>
          <w:szCs w:val="24"/>
        </w:rPr>
        <w:lastRenderedPageBreak/>
        <w:t xml:space="preserve">Analysis of responses </w:t>
      </w:r>
    </w:p>
    <w:p w:rsidR="000F5120" w:rsidRDefault="000F5120" w:rsidP="000F5120">
      <w:pPr>
        <w:pStyle w:val="ListParagraph"/>
        <w:ind w:left="465"/>
        <w:rPr>
          <w:rFonts w:ascii="Arial" w:hAnsi="Arial" w:cs="Arial"/>
          <w:b/>
          <w:sz w:val="24"/>
          <w:szCs w:val="24"/>
        </w:rPr>
      </w:pPr>
    </w:p>
    <w:p w:rsidR="00A33D95" w:rsidRPr="00A33D95" w:rsidRDefault="00A33D95" w:rsidP="00A33D95">
      <w:pPr>
        <w:pStyle w:val="ListParagraph"/>
        <w:ind w:left="465"/>
        <w:rPr>
          <w:rFonts w:ascii="Arial" w:hAnsi="Arial" w:cs="Arial"/>
          <w:sz w:val="24"/>
          <w:szCs w:val="24"/>
          <w:u w:val="single"/>
        </w:rPr>
      </w:pPr>
      <w:r w:rsidRPr="00A33D95">
        <w:rPr>
          <w:rFonts w:ascii="Arial" w:hAnsi="Arial" w:cs="Arial"/>
          <w:sz w:val="24"/>
          <w:szCs w:val="24"/>
          <w:u w:val="single"/>
        </w:rPr>
        <w:t xml:space="preserve">Criteria for legal members </w:t>
      </w:r>
    </w:p>
    <w:p w:rsidR="00A33D95" w:rsidRDefault="00A33D95" w:rsidP="00A33D95">
      <w:pPr>
        <w:pStyle w:val="ListParagraph"/>
        <w:ind w:left="465"/>
        <w:rPr>
          <w:rFonts w:ascii="Arial" w:hAnsi="Arial" w:cs="Arial"/>
          <w:sz w:val="24"/>
          <w:szCs w:val="24"/>
        </w:rPr>
      </w:pPr>
    </w:p>
    <w:p w:rsidR="00F14485" w:rsidRDefault="00A33D95" w:rsidP="00A33D95">
      <w:pPr>
        <w:pStyle w:val="ListParagraph"/>
        <w:numPr>
          <w:ilvl w:val="0"/>
          <w:numId w:val="12"/>
        </w:numPr>
        <w:rPr>
          <w:rFonts w:ascii="Arial" w:hAnsi="Arial" w:cs="Arial"/>
          <w:sz w:val="24"/>
          <w:szCs w:val="24"/>
        </w:rPr>
      </w:pPr>
      <w:r>
        <w:rPr>
          <w:rFonts w:ascii="Arial" w:hAnsi="Arial" w:cs="Arial"/>
          <w:sz w:val="24"/>
          <w:szCs w:val="24"/>
        </w:rPr>
        <w:t xml:space="preserve">In relation to criteria for legal members of the First-tier and Upper Tribunal respondents were concerned that academics </w:t>
      </w:r>
      <w:r w:rsidR="00B927FE">
        <w:rPr>
          <w:rFonts w:ascii="Arial" w:hAnsi="Arial" w:cs="Arial"/>
          <w:sz w:val="24"/>
          <w:szCs w:val="24"/>
        </w:rPr>
        <w:t>were</w:t>
      </w:r>
      <w:r>
        <w:rPr>
          <w:rFonts w:ascii="Arial" w:hAnsi="Arial" w:cs="Arial"/>
          <w:sz w:val="24"/>
          <w:szCs w:val="24"/>
        </w:rPr>
        <w:t xml:space="preserve"> excluded from becoming legal members of the Scottish Tribunals. </w:t>
      </w:r>
    </w:p>
    <w:p w:rsidR="00F14485" w:rsidRDefault="00F14485" w:rsidP="00F14485">
      <w:pPr>
        <w:pStyle w:val="ListParagraph"/>
        <w:ind w:left="465"/>
        <w:rPr>
          <w:rFonts w:ascii="Arial" w:hAnsi="Arial" w:cs="Arial"/>
          <w:sz w:val="24"/>
          <w:szCs w:val="24"/>
        </w:rPr>
      </w:pPr>
    </w:p>
    <w:p w:rsidR="00A33D95" w:rsidRPr="00F14485" w:rsidRDefault="00A33D95" w:rsidP="00F14485">
      <w:pPr>
        <w:pStyle w:val="ListParagraph"/>
        <w:numPr>
          <w:ilvl w:val="0"/>
          <w:numId w:val="12"/>
        </w:numPr>
        <w:rPr>
          <w:rFonts w:ascii="Arial" w:hAnsi="Arial" w:cs="Arial"/>
          <w:sz w:val="24"/>
          <w:szCs w:val="24"/>
        </w:rPr>
      </w:pPr>
      <w:r w:rsidRPr="00A33D95">
        <w:rPr>
          <w:rFonts w:ascii="Arial" w:hAnsi="Arial" w:cs="Arial"/>
          <w:sz w:val="24"/>
          <w:szCs w:val="24"/>
        </w:rPr>
        <w:t>Respondents were divided as to whether eligibility criteria should be limited to Scots trained lawyers.</w:t>
      </w:r>
      <w:r w:rsidR="00F14485">
        <w:rPr>
          <w:rFonts w:ascii="Arial" w:hAnsi="Arial" w:cs="Arial"/>
          <w:sz w:val="24"/>
          <w:szCs w:val="24"/>
        </w:rPr>
        <w:t xml:space="preserve"> </w:t>
      </w:r>
      <w:r w:rsidRPr="00F14485">
        <w:rPr>
          <w:rFonts w:ascii="Arial" w:hAnsi="Arial" w:cs="Arial"/>
          <w:sz w:val="24"/>
          <w:szCs w:val="24"/>
        </w:rPr>
        <w:t xml:space="preserve">Respondents also expressed concerns that legal members do not require experience in the </w:t>
      </w:r>
      <w:r w:rsidR="00B927FE">
        <w:rPr>
          <w:rFonts w:ascii="Arial" w:hAnsi="Arial" w:cs="Arial"/>
          <w:sz w:val="24"/>
          <w:szCs w:val="24"/>
        </w:rPr>
        <w:t>jurisdiction</w:t>
      </w:r>
      <w:r w:rsidRPr="00F14485">
        <w:rPr>
          <w:rFonts w:ascii="Arial" w:hAnsi="Arial" w:cs="Arial"/>
          <w:sz w:val="24"/>
          <w:szCs w:val="24"/>
        </w:rPr>
        <w:t xml:space="preserve"> concerned. </w:t>
      </w:r>
    </w:p>
    <w:p w:rsidR="00A33D95" w:rsidRDefault="00A33D95" w:rsidP="00A33D95">
      <w:pPr>
        <w:pStyle w:val="ListParagraph"/>
        <w:ind w:left="465"/>
        <w:rPr>
          <w:rFonts w:ascii="Arial" w:hAnsi="Arial" w:cs="Arial"/>
          <w:sz w:val="24"/>
          <w:szCs w:val="24"/>
        </w:rPr>
      </w:pPr>
    </w:p>
    <w:p w:rsidR="00A33D95" w:rsidRDefault="000B76CD" w:rsidP="00A33D95">
      <w:pPr>
        <w:pStyle w:val="ListParagraph"/>
        <w:numPr>
          <w:ilvl w:val="0"/>
          <w:numId w:val="12"/>
        </w:numPr>
        <w:rPr>
          <w:rFonts w:ascii="Arial" w:hAnsi="Arial" w:cs="Arial"/>
          <w:sz w:val="24"/>
          <w:szCs w:val="24"/>
        </w:rPr>
      </w:pPr>
      <w:r>
        <w:rPr>
          <w:rFonts w:ascii="Arial" w:hAnsi="Arial" w:cs="Arial"/>
          <w:sz w:val="24"/>
          <w:szCs w:val="24"/>
        </w:rPr>
        <w:t>In response to comments received regarding the first point</w:t>
      </w:r>
      <w:r w:rsidR="00A33D95">
        <w:rPr>
          <w:rFonts w:ascii="Arial" w:hAnsi="Arial" w:cs="Arial"/>
          <w:sz w:val="24"/>
          <w:szCs w:val="24"/>
        </w:rPr>
        <w:t xml:space="preserve"> </w:t>
      </w:r>
      <w:r w:rsidR="00223C4A">
        <w:rPr>
          <w:rFonts w:ascii="Arial" w:hAnsi="Arial" w:cs="Arial"/>
          <w:sz w:val="24"/>
          <w:szCs w:val="24"/>
        </w:rPr>
        <w:t>we</w:t>
      </w:r>
      <w:r w:rsidR="00A33D95">
        <w:rPr>
          <w:rFonts w:ascii="Arial" w:hAnsi="Arial" w:cs="Arial"/>
          <w:sz w:val="24"/>
          <w:szCs w:val="24"/>
        </w:rPr>
        <w:t xml:space="preserve"> have</w:t>
      </w:r>
      <w:r w:rsidR="00223C4A">
        <w:rPr>
          <w:rFonts w:ascii="Arial" w:hAnsi="Arial" w:cs="Arial"/>
          <w:sz w:val="24"/>
          <w:szCs w:val="24"/>
        </w:rPr>
        <w:t xml:space="preserve"> amended the regulations to </w:t>
      </w:r>
      <w:r w:rsidR="00F14485">
        <w:rPr>
          <w:rFonts w:ascii="Arial" w:hAnsi="Arial" w:cs="Arial"/>
          <w:sz w:val="24"/>
          <w:szCs w:val="24"/>
        </w:rPr>
        <w:t xml:space="preserve">allow academics who have previous engagement in practice for a period of not less than 5 years as a solicitor or advocate in Scotland to be eligible as a legal member of the First-tier Tribunal. </w:t>
      </w:r>
      <w:r w:rsidR="00B45EA9">
        <w:rPr>
          <w:rFonts w:ascii="Arial" w:hAnsi="Arial" w:cs="Arial"/>
          <w:sz w:val="24"/>
          <w:szCs w:val="24"/>
        </w:rPr>
        <w:t xml:space="preserve">This was not extended to membership of the Upper Tribunal as it was deemed that a member of this tribunal would require current legal experience. </w:t>
      </w:r>
    </w:p>
    <w:p w:rsidR="00F14485" w:rsidRPr="00F14485" w:rsidRDefault="00F14485" w:rsidP="00F14485">
      <w:pPr>
        <w:pStyle w:val="ListParagraph"/>
        <w:rPr>
          <w:rFonts w:ascii="Arial" w:hAnsi="Arial" w:cs="Arial"/>
          <w:sz w:val="24"/>
          <w:szCs w:val="24"/>
        </w:rPr>
      </w:pPr>
    </w:p>
    <w:p w:rsidR="000B76CD" w:rsidRPr="000B76CD" w:rsidRDefault="000B76CD" w:rsidP="000B76CD">
      <w:pPr>
        <w:pStyle w:val="ListParagraph"/>
        <w:numPr>
          <w:ilvl w:val="0"/>
          <w:numId w:val="12"/>
        </w:numPr>
        <w:rPr>
          <w:rFonts w:ascii="Arial" w:hAnsi="Arial" w:cs="Arial"/>
          <w:sz w:val="24"/>
          <w:szCs w:val="24"/>
        </w:rPr>
      </w:pPr>
      <w:r>
        <w:rPr>
          <w:rFonts w:ascii="Arial" w:hAnsi="Arial" w:cs="Arial"/>
          <w:sz w:val="24"/>
          <w:szCs w:val="24"/>
        </w:rPr>
        <w:t xml:space="preserve">Based on the responses received in relation to the second point, limiting eligibility to Scots trained lawyers </w:t>
      </w:r>
      <w:r w:rsidR="00223C4A">
        <w:rPr>
          <w:rFonts w:ascii="Arial" w:hAnsi="Arial" w:cs="Arial"/>
          <w:sz w:val="24"/>
          <w:szCs w:val="24"/>
        </w:rPr>
        <w:t xml:space="preserve">we have </w:t>
      </w:r>
      <w:r>
        <w:rPr>
          <w:rFonts w:ascii="Arial" w:hAnsi="Arial" w:cs="Arial"/>
          <w:sz w:val="24"/>
          <w:szCs w:val="24"/>
        </w:rPr>
        <w:t>amended</w:t>
      </w:r>
      <w:r w:rsidR="00223C4A">
        <w:rPr>
          <w:rFonts w:ascii="Arial" w:hAnsi="Arial" w:cs="Arial"/>
          <w:sz w:val="24"/>
          <w:szCs w:val="24"/>
        </w:rPr>
        <w:t xml:space="preserve"> the criteria to limit eligibility to Scots trained lawyers</w:t>
      </w:r>
      <w:r>
        <w:rPr>
          <w:rFonts w:ascii="Arial" w:hAnsi="Arial" w:cs="Arial"/>
          <w:sz w:val="24"/>
          <w:szCs w:val="24"/>
        </w:rPr>
        <w:t xml:space="preserve">. As more tribunals transfer into the new structure this position may change. </w:t>
      </w:r>
    </w:p>
    <w:p w:rsidR="00F14485" w:rsidRPr="00F14485" w:rsidRDefault="00F14485" w:rsidP="00F14485">
      <w:pPr>
        <w:pStyle w:val="ListParagraph"/>
        <w:rPr>
          <w:rFonts w:ascii="Arial" w:hAnsi="Arial" w:cs="Arial"/>
          <w:sz w:val="24"/>
          <w:szCs w:val="24"/>
        </w:rPr>
      </w:pPr>
    </w:p>
    <w:p w:rsidR="00F14485" w:rsidRPr="00223C4A" w:rsidRDefault="00223C4A" w:rsidP="00223C4A">
      <w:pPr>
        <w:pStyle w:val="ListParagraph"/>
        <w:numPr>
          <w:ilvl w:val="0"/>
          <w:numId w:val="12"/>
        </w:numPr>
        <w:rPr>
          <w:rFonts w:ascii="Arial" w:hAnsi="Arial" w:cs="Arial"/>
          <w:sz w:val="24"/>
          <w:szCs w:val="24"/>
        </w:rPr>
      </w:pPr>
      <w:r>
        <w:rPr>
          <w:rFonts w:ascii="Arial" w:hAnsi="Arial" w:cs="Arial"/>
          <w:sz w:val="24"/>
          <w:szCs w:val="24"/>
        </w:rPr>
        <w:t xml:space="preserve"> We have decided not to specify that a legal member must have jurisdictional experience as t</w:t>
      </w:r>
      <w:r w:rsidR="00F14485" w:rsidRPr="00223C4A">
        <w:rPr>
          <w:rFonts w:ascii="Arial" w:hAnsi="Arial" w:cs="Arial"/>
          <w:sz w:val="24"/>
          <w:szCs w:val="24"/>
        </w:rPr>
        <w:t xml:space="preserve">he intention is that the ordinary </w:t>
      </w:r>
      <w:r>
        <w:rPr>
          <w:rFonts w:ascii="Arial" w:hAnsi="Arial" w:cs="Arial"/>
          <w:sz w:val="24"/>
          <w:szCs w:val="24"/>
        </w:rPr>
        <w:t>tribunal members</w:t>
      </w:r>
      <w:r w:rsidR="00F14485" w:rsidRPr="00223C4A">
        <w:rPr>
          <w:rFonts w:ascii="Arial" w:hAnsi="Arial" w:cs="Arial"/>
          <w:sz w:val="24"/>
          <w:szCs w:val="24"/>
        </w:rPr>
        <w:t xml:space="preserve"> will bring the jurisdictional experience and the legal members will bring the legal experience. Having generic criteria for legal </w:t>
      </w:r>
      <w:proofErr w:type="gramStart"/>
      <w:r w:rsidR="00F14485" w:rsidRPr="00223C4A">
        <w:rPr>
          <w:rFonts w:ascii="Arial" w:hAnsi="Arial" w:cs="Arial"/>
          <w:sz w:val="24"/>
          <w:szCs w:val="24"/>
        </w:rPr>
        <w:t>members</w:t>
      </w:r>
      <w:proofErr w:type="gramEnd"/>
      <w:r w:rsidR="00F14485" w:rsidRPr="00223C4A">
        <w:rPr>
          <w:rFonts w:ascii="Arial" w:hAnsi="Arial" w:cs="Arial"/>
          <w:sz w:val="24"/>
          <w:szCs w:val="24"/>
        </w:rPr>
        <w:t xml:space="preserve"> means it will be easier for legal members to sit in other tribunals and may encourage cross</w:t>
      </w:r>
      <w:r w:rsidR="002E15A9">
        <w:rPr>
          <w:rFonts w:ascii="Arial" w:hAnsi="Arial" w:cs="Arial"/>
          <w:sz w:val="24"/>
          <w:szCs w:val="24"/>
        </w:rPr>
        <w:t>-</w:t>
      </w:r>
      <w:r w:rsidR="00F14485" w:rsidRPr="00223C4A">
        <w:rPr>
          <w:rFonts w:ascii="Arial" w:hAnsi="Arial" w:cs="Arial"/>
          <w:sz w:val="24"/>
          <w:szCs w:val="24"/>
        </w:rPr>
        <w:t xml:space="preserve">ticketing. If it is deemed necessary when recruiting legal members that they have jurisdictional experience then this can be specified </w:t>
      </w:r>
      <w:proofErr w:type="gramStart"/>
      <w:r w:rsidR="00F14485" w:rsidRPr="00223C4A">
        <w:rPr>
          <w:rFonts w:ascii="Arial" w:hAnsi="Arial" w:cs="Arial"/>
          <w:sz w:val="24"/>
          <w:szCs w:val="24"/>
        </w:rPr>
        <w:t>as a desirable criteria</w:t>
      </w:r>
      <w:proofErr w:type="gramEnd"/>
      <w:r w:rsidR="00F14485" w:rsidRPr="00223C4A">
        <w:rPr>
          <w:rFonts w:ascii="Arial" w:hAnsi="Arial" w:cs="Arial"/>
          <w:sz w:val="24"/>
          <w:szCs w:val="24"/>
        </w:rPr>
        <w:t xml:space="preserve"> in the application form. </w:t>
      </w:r>
    </w:p>
    <w:p w:rsidR="001123CC" w:rsidRPr="001123CC" w:rsidRDefault="001123CC" w:rsidP="001123CC">
      <w:pPr>
        <w:pStyle w:val="ListParagraph"/>
        <w:rPr>
          <w:rFonts w:ascii="Arial" w:hAnsi="Arial" w:cs="Arial"/>
          <w:sz w:val="24"/>
          <w:szCs w:val="24"/>
        </w:rPr>
      </w:pPr>
    </w:p>
    <w:p w:rsidR="001123CC" w:rsidRPr="001123CC" w:rsidRDefault="001123CC" w:rsidP="001123CC">
      <w:pPr>
        <w:rPr>
          <w:rFonts w:cs="Arial"/>
          <w:szCs w:val="24"/>
          <w:u w:val="single"/>
        </w:rPr>
      </w:pPr>
      <w:r>
        <w:rPr>
          <w:rFonts w:cs="Arial"/>
          <w:szCs w:val="24"/>
          <w:u w:val="single"/>
        </w:rPr>
        <w:t xml:space="preserve">Criteria for members with housing experience  </w:t>
      </w:r>
    </w:p>
    <w:p w:rsidR="001123CC" w:rsidRPr="001123CC" w:rsidRDefault="001123CC" w:rsidP="001123CC">
      <w:pPr>
        <w:pStyle w:val="ListParagraph"/>
        <w:rPr>
          <w:rFonts w:ascii="Arial" w:hAnsi="Arial" w:cs="Arial"/>
          <w:sz w:val="24"/>
          <w:szCs w:val="24"/>
        </w:rPr>
      </w:pPr>
    </w:p>
    <w:p w:rsidR="001123CC" w:rsidRDefault="001123CC" w:rsidP="00F14485">
      <w:pPr>
        <w:pStyle w:val="ListParagraph"/>
        <w:numPr>
          <w:ilvl w:val="0"/>
          <w:numId w:val="12"/>
        </w:numPr>
        <w:rPr>
          <w:rFonts w:ascii="Arial" w:hAnsi="Arial" w:cs="Arial"/>
          <w:sz w:val="24"/>
          <w:szCs w:val="24"/>
        </w:rPr>
      </w:pPr>
      <w:r>
        <w:rPr>
          <w:rFonts w:ascii="Arial" w:hAnsi="Arial" w:cs="Arial"/>
          <w:sz w:val="24"/>
          <w:szCs w:val="24"/>
        </w:rPr>
        <w:t xml:space="preserve">One respondent suggested that eligibility criteria for members with housing experience should be extended to include tenants. Another respondent commented that references to housing should be replaced with references to housing and property and references to land management should be replaced with references to land and property management issues. </w:t>
      </w:r>
    </w:p>
    <w:p w:rsidR="001123CC" w:rsidRDefault="001123CC" w:rsidP="001123CC">
      <w:pPr>
        <w:pStyle w:val="ListParagraph"/>
        <w:ind w:left="465"/>
        <w:rPr>
          <w:rFonts w:ascii="Arial" w:hAnsi="Arial" w:cs="Arial"/>
          <w:sz w:val="24"/>
          <w:szCs w:val="24"/>
        </w:rPr>
      </w:pPr>
    </w:p>
    <w:p w:rsidR="001123CC" w:rsidRDefault="001123CC" w:rsidP="00F14485">
      <w:pPr>
        <w:pStyle w:val="ListParagraph"/>
        <w:numPr>
          <w:ilvl w:val="0"/>
          <w:numId w:val="12"/>
        </w:numPr>
        <w:rPr>
          <w:rFonts w:ascii="Arial" w:hAnsi="Arial" w:cs="Arial"/>
          <w:sz w:val="24"/>
          <w:szCs w:val="24"/>
        </w:rPr>
      </w:pPr>
      <w:r>
        <w:rPr>
          <w:rFonts w:ascii="Arial" w:hAnsi="Arial" w:cs="Arial"/>
          <w:sz w:val="24"/>
          <w:szCs w:val="24"/>
        </w:rPr>
        <w:lastRenderedPageBreak/>
        <w:t xml:space="preserve">On the first point tenants who demonstrate relevant experience in housing matters would be eligible to apply for membership of the First-tier Tribunal. In relation to the remaining points the draft regulations were amended accordingly. </w:t>
      </w:r>
    </w:p>
    <w:p w:rsidR="00D651F9" w:rsidRPr="00D651F9" w:rsidRDefault="00D651F9" w:rsidP="00D651F9">
      <w:pPr>
        <w:pStyle w:val="ListParagraph"/>
        <w:rPr>
          <w:rFonts w:ascii="Arial" w:hAnsi="Arial" w:cs="Arial"/>
          <w:sz w:val="24"/>
          <w:szCs w:val="24"/>
        </w:rPr>
      </w:pPr>
    </w:p>
    <w:p w:rsidR="00D651F9" w:rsidRDefault="00D651F9" w:rsidP="00D651F9">
      <w:pPr>
        <w:rPr>
          <w:rFonts w:cs="Arial"/>
          <w:szCs w:val="24"/>
          <w:u w:val="single"/>
        </w:rPr>
      </w:pPr>
      <w:r>
        <w:rPr>
          <w:rFonts w:cs="Arial"/>
          <w:szCs w:val="24"/>
          <w:u w:val="single"/>
        </w:rPr>
        <w:t>Criteria for members with tax experience</w:t>
      </w:r>
    </w:p>
    <w:p w:rsidR="00D651F9" w:rsidRDefault="00D651F9" w:rsidP="00D651F9">
      <w:pPr>
        <w:rPr>
          <w:rFonts w:cs="Arial"/>
          <w:szCs w:val="24"/>
          <w:u w:val="single"/>
        </w:rPr>
      </w:pPr>
    </w:p>
    <w:p w:rsidR="00D651F9" w:rsidRDefault="00D651F9" w:rsidP="00D651F9">
      <w:pPr>
        <w:pStyle w:val="ListParagraph"/>
        <w:numPr>
          <w:ilvl w:val="0"/>
          <w:numId w:val="12"/>
        </w:numPr>
        <w:rPr>
          <w:rFonts w:ascii="Arial" w:hAnsi="Arial" w:cs="Arial"/>
          <w:sz w:val="24"/>
          <w:szCs w:val="24"/>
        </w:rPr>
      </w:pPr>
      <w:r w:rsidRPr="00D651F9">
        <w:rPr>
          <w:rFonts w:ascii="Arial" w:hAnsi="Arial" w:cs="Arial"/>
          <w:sz w:val="24"/>
          <w:szCs w:val="24"/>
        </w:rPr>
        <w:t xml:space="preserve">The </w:t>
      </w:r>
      <w:r w:rsidR="00770BBE">
        <w:rPr>
          <w:rFonts w:ascii="Arial" w:hAnsi="Arial" w:cs="Arial"/>
          <w:sz w:val="24"/>
          <w:szCs w:val="24"/>
        </w:rPr>
        <w:t xml:space="preserve">main comment regarding eligibility </w:t>
      </w:r>
      <w:r w:rsidR="002E15A9">
        <w:rPr>
          <w:rFonts w:ascii="Arial" w:hAnsi="Arial" w:cs="Arial"/>
          <w:sz w:val="24"/>
          <w:szCs w:val="24"/>
        </w:rPr>
        <w:t xml:space="preserve">criteria </w:t>
      </w:r>
      <w:r w:rsidR="00770BBE">
        <w:rPr>
          <w:rFonts w:ascii="Arial" w:hAnsi="Arial" w:cs="Arial"/>
          <w:sz w:val="24"/>
          <w:szCs w:val="24"/>
        </w:rPr>
        <w:t xml:space="preserve">for members with tax experience was that the debarment provision should be extended to include those debarred from the Chartered Institute of Taxation. A respondent also raised the </w:t>
      </w:r>
      <w:r w:rsidR="002E15A9">
        <w:rPr>
          <w:rFonts w:ascii="Arial" w:hAnsi="Arial" w:cs="Arial"/>
          <w:sz w:val="24"/>
          <w:szCs w:val="24"/>
        </w:rPr>
        <w:t xml:space="preserve">point </w:t>
      </w:r>
      <w:r w:rsidR="00770BBE">
        <w:rPr>
          <w:rFonts w:ascii="Arial" w:hAnsi="Arial" w:cs="Arial"/>
          <w:sz w:val="24"/>
          <w:szCs w:val="24"/>
        </w:rPr>
        <w:t xml:space="preserve">that the criteria for tax members would need to be extended when the Valuation Appeal Committees are transferred to the Scottish Tribunals. </w:t>
      </w:r>
    </w:p>
    <w:p w:rsidR="00770BBE" w:rsidRPr="00770BBE" w:rsidRDefault="00770BBE" w:rsidP="00770BBE">
      <w:pPr>
        <w:pStyle w:val="ListParagraph"/>
        <w:ind w:left="465"/>
        <w:rPr>
          <w:rFonts w:ascii="Arial" w:hAnsi="Arial" w:cs="Arial"/>
          <w:sz w:val="28"/>
          <w:szCs w:val="24"/>
        </w:rPr>
      </w:pPr>
    </w:p>
    <w:p w:rsidR="00770BBE" w:rsidRDefault="00770BBE" w:rsidP="00770BBE">
      <w:pPr>
        <w:pStyle w:val="ListParagraph"/>
        <w:numPr>
          <w:ilvl w:val="0"/>
          <w:numId w:val="12"/>
        </w:numPr>
        <w:rPr>
          <w:rFonts w:ascii="Arial" w:hAnsi="Arial" w:cs="Arial"/>
          <w:sz w:val="24"/>
          <w:szCs w:val="24"/>
        </w:rPr>
      </w:pPr>
      <w:r w:rsidRPr="00770BBE">
        <w:rPr>
          <w:rFonts w:ascii="Arial" w:hAnsi="Arial" w:cs="Arial"/>
          <w:sz w:val="24"/>
          <w:szCs w:val="24"/>
        </w:rPr>
        <w:t xml:space="preserve">In relation to the first comment the regulations have been amended to extend the debarment provision to include those debarred from the Chartered Institute of Taxation. </w:t>
      </w:r>
    </w:p>
    <w:p w:rsidR="00770BBE" w:rsidRPr="00770BBE" w:rsidRDefault="00770BBE" w:rsidP="00770BBE">
      <w:pPr>
        <w:pStyle w:val="ListParagraph"/>
        <w:rPr>
          <w:rFonts w:ascii="Arial" w:hAnsi="Arial" w:cs="Arial"/>
          <w:sz w:val="24"/>
          <w:szCs w:val="24"/>
        </w:rPr>
      </w:pPr>
    </w:p>
    <w:p w:rsidR="00770BBE" w:rsidRPr="00770BBE" w:rsidRDefault="00770BBE" w:rsidP="00770BBE">
      <w:pPr>
        <w:pStyle w:val="ListParagraph"/>
        <w:numPr>
          <w:ilvl w:val="0"/>
          <w:numId w:val="12"/>
        </w:numPr>
        <w:rPr>
          <w:rFonts w:ascii="Arial" w:hAnsi="Arial" w:cs="Arial"/>
          <w:sz w:val="24"/>
          <w:szCs w:val="24"/>
        </w:rPr>
      </w:pPr>
      <w:r>
        <w:rPr>
          <w:rFonts w:ascii="Arial" w:hAnsi="Arial" w:cs="Arial"/>
          <w:sz w:val="24"/>
          <w:szCs w:val="24"/>
        </w:rPr>
        <w:t>Regarding the second comment eligibility criteria will be modified as more tribunals are transferred into the Scottish Tribunals. The Valuation Appeal Committees are likely to be in phase three of trans</w:t>
      </w:r>
      <w:r w:rsidR="007E6F7F">
        <w:rPr>
          <w:rFonts w:ascii="Arial" w:hAnsi="Arial" w:cs="Arial"/>
          <w:sz w:val="24"/>
          <w:szCs w:val="24"/>
        </w:rPr>
        <w:t xml:space="preserve">fers which will be </w:t>
      </w:r>
      <w:r w:rsidR="00223C4A">
        <w:rPr>
          <w:rFonts w:ascii="Arial" w:hAnsi="Arial" w:cs="Arial"/>
          <w:sz w:val="24"/>
          <w:szCs w:val="24"/>
        </w:rPr>
        <w:t>after</w:t>
      </w:r>
      <w:r w:rsidR="007E6F7F">
        <w:rPr>
          <w:rFonts w:ascii="Arial" w:hAnsi="Arial" w:cs="Arial"/>
          <w:sz w:val="24"/>
          <w:szCs w:val="24"/>
        </w:rPr>
        <w:t xml:space="preserve"> 2020. Therefore, eligibility criteria for members of the Valuation Appeal Committees will be considered nearer the transfer</w:t>
      </w:r>
      <w:r w:rsidR="002E15A9">
        <w:rPr>
          <w:rFonts w:ascii="Arial" w:hAnsi="Arial" w:cs="Arial"/>
          <w:sz w:val="24"/>
          <w:szCs w:val="24"/>
        </w:rPr>
        <w:t>-</w:t>
      </w:r>
      <w:r w:rsidR="007E6F7F">
        <w:rPr>
          <w:rFonts w:ascii="Arial" w:hAnsi="Arial" w:cs="Arial"/>
          <w:sz w:val="24"/>
          <w:szCs w:val="24"/>
        </w:rPr>
        <w:t xml:space="preserve">in date. </w:t>
      </w:r>
    </w:p>
    <w:p w:rsidR="001123CC" w:rsidRPr="001123CC" w:rsidRDefault="001123CC" w:rsidP="001123CC">
      <w:pPr>
        <w:pStyle w:val="ListParagraph"/>
        <w:rPr>
          <w:rFonts w:ascii="Arial" w:hAnsi="Arial" w:cs="Arial"/>
          <w:sz w:val="24"/>
          <w:szCs w:val="24"/>
        </w:rPr>
      </w:pPr>
    </w:p>
    <w:p w:rsidR="001123CC" w:rsidRDefault="007E6F7F" w:rsidP="001123CC">
      <w:pPr>
        <w:rPr>
          <w:rFonts w:cs="Arial"/>
          <w:b/>
          <w:szCs w:val="24"/>
        </w:rPr>
      </w:pPr>
      <w:r>
        <w:rPr>
          <w:rFonts w:cs="Arial"/>
          <w:b/>
          <w:szCs w:val="24"/>
        </w:rPr>
        <w:t xml:space="preserve">Next Steps </w:t>
      </w:r>
    </w:p>
    <w:p w:rsidR="007E6F7F" w:rsidRDefault="007E6F7F" w:rsidP="001123CC">
      <w:pPr>
        <w:rPr>
          <w:rFonts w:cs="Arial"/>
          <w:b/>
          <w:szCs w:val="24"/>
        </w:rPr>
      </w:pPr>
    </w:p>
    <w:p w:rsidR="007E6F7F" w:rsidRDefault="007E6F7F" w:rsidP="007E6F7F">
      <w:pPr>
        <w:pStyle w:val="ListParagraph"/>
        <w:numPr>
          <w:ilvl w:val="0"/>
          <w:numId w:val="12"/>
        </w:numPr>
        <w:rPr>
          <w:rFonts w:ascii="Arial" w:hAnsi="Arial" w:cs="Arial"/>
          <w:sz w:val="24"/>
          <w:szCs w:val="24"/>
        </w:rPr>
      </w:pPr>
      <w:r w:rsidRPr="007E6F7F">
        <w:rPr>
          <w:rFonts w:ascii="Arial" w:hAnsi="Arial" w:cs="Arial"/>
          <w:sz w:val="24"/>
          <w:szCs w:val="24"/>
        </w:rPr>
        <w:t xml:space="preserve">The draft regulations have been amended to incorporate </w:t>
      </w:r>
      <w:r w:rsidR="00223C4A" w:rsidRPr="007E6F7F">
        <w:rPr>
          <w:rFonts w:ascii="Arial" w:hAnsi="Arial" w:cs="Arial"/>
          <w:sz w:val="24"/>
          <w:szCs w:val="24"/>
        </w:rPr>
        <w:t>respondents’</w:t>
      </w:r>
      <w:r w:rsidRPr="007E6F7F">
        <w:rPr>
          <w:rFonts w:ascii="Arial" w:hAnsi="Arial" w:cs="Arial"/>
          <w:sz w:val="24"/>
          <w:szCs w:val="24"/>
        </w:rPr>
        <w:t xml:space="preserve"> comments. The regulations were laid in the Scottish Parliament in November 2015 and came into force on 1</w:t>
      </w:r>
      <w:r w:rsidRPr="007E6F7F">
        <w:rPr>
          <w:rFonts w:ascii="Arial" w:hAnsi="Arial" w:cs="Arial"/>
          <w:sz w:val="24"/>
          <w:szCs w:val="24"/>
          <w:vertAlign w:val="superscript"/>
        </w:rPr>
        <w:t>st</w:t>
      </w:r>
      <w:r w:rsidRPr="007E6F7F">
        <w:rPr>
          <w:rFonts w:ascii="Arial" w:hAnsi="Arial" w:cs="Arial"/>
          <w:sz w:val="24"/>
          <w:szCs w:val="24"/>
        </w:rPr>
        <w:t xml:space="preserve"> January 2016. The final version of the regulations are available at the link below: </w:t>
      </w:r>
    </w:p>
    <w:p w:rsidR="007E6F7F" w:rsidRDefault="00440C4E" w:rsidP="007E6F7F">
      <w:pPr>
        <w:pStyle w:val="ListParagraph"/>
        <w:ind w:left="465"/>
        <w:rPr>
          <w:rFonts w:ascii="Arial" w:hAnsi="Arial" w:cs="Arial"/>
          <w:sz w:val="24"/>
          <w:szCs w:val="24"/>
        </w:rPr>
      </w:pPr>
      <w:hyperlink r:id="rId11" w:history="1">
        <w:r w:rsidR="007E6F7F" w:rsidRPr="002C0460">
          <w:rPr>
            <w:rStyle w:val="Hyperlink"/>
            <w:rFonts w:ascii="Arial" w:hAnsi="Arial" w:cs="Arial"/>
            <w:sz w:val="24"/>
            <w:szCs w:val="24"/>
          </w:rPr>
          <w:t>http://www.legislation.gov.uk/ssi/2015/381/contents/made</w:t>
        </w:r>
      </w:hyperlink>
    </w:p>
    <w:p w:rsidR="007E6F7F" w:rsidRDefault="007E6F7F" w:rsidP="007E6F7F">
      <w:pPr>
        <w:pStyle w:val="ListParagraph"/>
        <w:ind w:left="465"/>
        <w:rPr>
          <w:rFonts w:ascii="Arial" w:hAnsi="Arial" w:cs="Arial"/>
          <w:sz w:val="24"/>
          <w:szCs w:val="24"/>
        </w:rPr>
      </w:pPr>
    </w:p>
    <w:p w:rsidR="007E6F7F" w:rsidRPr="007E6F7F" w:rsidRDefault="007E6F7F" w:rsidP="007E6F7F">
      <w:pPr>
        <w:pStyle w:val="ListParagraph"/>
        <w:numPr>
          <w:ilvl w:val="0"/>
          <w:numId w:val="12"/>
        </w:numPr>
        <w:rPr>
          <w:rFonts w:ascii="Arial" w:hAnsi="Arial" w:cs="Arial"/>
          <w:sz w:val="24"/>
          <w:szCs w:val="24"/>
        </w:rPr>
      </w:pPr>
      <w:r w:rsidRPr="007E6F7F">
        <w:rPr>
          <w:rFonts w:ascii="Arial" w:hAnsi="Arial" w:cs="Arial"/>
          <w:sz w:val="24"/>
          <w:szCs w:val="24"/>
        </w:rPr>
        <w:t xml:space="preserve">The regulations will be amended as further tribunals are transferred into the Scottish Tribunals structure. </w:t>
      </w:r>
    </w:p>
    <w:p w:rsidR="007E6F7F" w:rsidRPr="007E6F7F" w:rsidRDefault="007E6F7F" w:rsidP="007E6F7F">
      <w:pPr>
        <w:rPr>
          <w:rFonts w:cs="Arial"/>
          <w:szCs w:val="24"/>
        </w:rPr>
      </w:pPr>
    </w:p>
    <w:p w:rsidR="00F14485" w:rsidRDefault="00F14485" w:rsidP="00F14485">
      <w:pPr>
        <w:pStyle w:val="ListParagraph"/>
        <w:rPr>
          <w:rFonts w:ascii="Arial" w:hAnsi="Arial" w:cs="Arial"/>
          <w:sz w:val="24"/>
          <w:szCs w:val="24"/>
        </w:rPr>
      </w:pPr>
    </w:p>
    <w:p w:rsidR="001123CC" w:rsidRDefault="001123CC">
      <w:pPr>
        <w:spacing w:after="200"/>
        <w:rPr>
          <w:rFonts w:eastAsiaTheme="minorHAnsi" w:cs="Arial"/>
          <w:szCs w:val="24"/>
        </w:rPr>
      </w:pPr>
      <w:r>
        <w:rPr>
          <w:rFonts w:cs="Arial"/>
          <w:szCs w:val="24"/>
        </w:rPr>
        <w:br w:type="page"/>
      </w:r>
    </w:p>
    <w:p w:rsidR="001123CC" w:rsidRDefault="009B1EAC" w:rsidP="009B1EAC">
      <w:pPr>
        <w:pStyle w:val="ListParagraph"/>
        <w:ind w:firstLine="720"/>
        <w:rPr>
          <w:rFonts w:ascii="Arial" w:hAnsi="Arial" w:cs="Arial"/>
          <w:b/>
          <w:sz w:val="24"/>
          <w:szCs w:val="24"/>
        </w:rPr>
      </w:pPr>
      <w:r>
        <w:rPr>
          <w:rFonts w:ascii="Arial" w:hAnsi="Arial" w:cs="Arial"/>
          <w:b/>
          <w:sz w:val="24"/>
          <w:szCs w:val="24"/>
        </w:rPr>
        <w:lastRenderedPageBreak/>
        <w:t xml:space="preserve">ANNEX A – LIST OF RESPONDENTS </w:t>
      </w:r>
    </w:p>
    <w:p w:rsidR="009B1EAC" w:rsidRDefault="009B1EAC" w:rsidP="009B1EAC">
      <w:pPr>
        <w:pStyle w:val="ListParagraph"/>
        <w:ind w:firstLine="720"/>
        <w:rPr>
          <w:rFonts w:ascii="Arial" w:hAnsi="Arial" w:cs="Arial"/>
          <w:b/>
          <w:sz w:val="24"/>
          <w:szCs w:val="24"/>
        </w:rPr>
      </w:pPr>
    </w:p>
    <w:p w:rsidR="009B1EAC" w:rsidRDefault="009B1EAC" w:rsidP="009B1EAC">
      <w:pPr>
        <w:rPr>
          <w:rFonts w:cs="Arial"/>
          <w:szCs w:val="24"/>
        </w:rPr>
      </w:pPr>
      <w:r>
        <w:rPr>
          <w:rFonts w:cs="Arial"/>
          <w:szCs w:val="24"/>
        </w:rPr>
        <w:t>Responses were received from the following organisations/individuals:</w:t>
      </w:r>
    </w:p>
    <w:p w:rsidR="009B1EAC" w:rsidRDefault="009B1EAC" w:rsidP="009B1EAC">
      <w:pPr>
        <w:rPr>
          <w:rFonts w:cs="Arial"/>
          <w:szCs w:val="24"/>
        </w:rPr>
      </w:pPr>
    </w:p>
    <w:p w:rsidR="000F60BA" w:rsidRDefault="000F60BA" w:rsidP="000F60BA">
      <w:pPr>
        <w:rPr>
          <w:rFonts w:cs="Arial"/>
          <w:szCs w:val="24"/>
        </w:rPr>
      </w:pPr>
      <w:r>
        <w:rPr>
          <w:rFonts w:cs="Arial"/>
          <w:szCs w:val="24"/>
        </w:rPr>
        <w:t xml:space="preserve">Derek </w:t>
      </w:r>
      <w:proofErr w:type="spellStart"/>
      <w:r>
        <w:rPr>
          <w:rFonts w:cs="Arial"/>
          <w:szCs w:val="24"/>
        </w:rPr>
        <w:t>Auchie</w:t>
      </w:r>
      <w:proofErr w:type="spellEnd"/>
    </w:p>
    <w:p w:rsidR="000F60BA" w:rsidRDefault="000F60BA" w:rsidP="000F60BA">
      <w:pPr>
        <w:rPr>
          <w:rFonts w:cs="Arial"/>
          <w:szCs w:val="24"/>
        </w:rPr>
      </w:pPr>
      <w:r>
        <w:rPr>
          <w:rFonts w:cs="Arial"/>
          <w:szCs w:val="24"/>
        </w:rPr>
        <w:t>Additional Support Needs Tribunal</w:t>
      </w:r>
      <w:r w:rsidR="002E15A9">
        <w:rPr>
          <w:rFonts w:cs="Arial"/>
          <w:szCs w:val="24"/>
        </w:rPr>
        <w:t>s</w:t>
      </w:r>
      <w:r>
        <w:rPr>
          <w:rFonts w:cs="Arial"/>
          <w:szCs w:val="24"/>
        </w:rPr>
        <w:t xml:space="preserve"> for Scotland</w:t>
      </w:r>
    </w:p>
    <w:p w:rsidR="000F60BA" w:rsidRDefault="000F60BA" w:rsidP="000F60BA">
      <w:pPr>
        <w:rPr>
          <w:rFonts w:cs="Arial"/>
          <w:szCs w:val="24"/>
        </w:rPr>
      </w:pPr>
      <w:r>
        <w:rPr>
          <w:rFonts w:cs="Arial"/>
          <w:szCs w:val="24"/>
        </w:rPr>
        <w:t>Alan Gamble</w:t>
      </w:r>
    </w:p>
    <w:p w:rsidR="000F60BA" w:rsidRDefault="000F60BA" w:rsidP="000F60BA">
      <w:pPr>
        <w:rPr>
          <w:rFonts w:cs="Arial"/>
          <w:szCs w:val="24"/>
        </w:rPr>
      </w:pPr>
      <w:r>
        <w:rPr>
          <w:rFonts w:cs="Arial"/>
          <w:szCs w:val="24"/>
        </w:rPr>
        <w:t xml:space="preserve">Central and </w:t>
      </w:r>
      <w:proofErr w:type="spellStart"/>
      <w:r>
        <w:rPr>
          <w:rFonts w:cs="Arial"/>
          <w:szCs w:val="24"/>
        </w:rPr>
        <w:t>Tayforth</w:t>
      </w:r>
      <w:proofErr w:type="spellEnd"/>
      <w:r>
        <w:rPr>
          <w:rFonts w:cs="Arial"/>
          <w:szCs w:val="24"/>
        </w:rPr>
        <w:t xml:space="preserve"> Registered Tenant Regional Network</w:t>
      </w:r>
    </w:p>
    <w:p w:rsidR="000F60BA" w:rsidRDefault="000F60BA" w:rsidP="000F60BA">
      <w:pPr>
        <w:rPr>
          <w:rFonts w:cs="Arial"/>
          <w:szCs w:val="24"/>
        </w:rPr>
      </w:pPr>
      <w:r>
        <w:rPr>
          <w:rFonts w:cs="Arial"/>
          <w:szCs w:val="24"/>
        </w:rPr>
        <w:t>Chartered Institute of Taxation</w:t>
      </w:r>
    </w:p>
    <w:p w:rsidR="009B1EAC" w:rsidRDefault="009B1EAC" w:rsidP="009B1EAC">
      <w:pPr>
        <w:rPr>
          <w:rFonts w:cs="Arial"/>
          <w:szCs w:val="24"/>
        </w:rPr>
      </w:pPr>
      <w:r>
        <w:rPr>
          <w:rFonts w:cs="Arial"/>
          <w:szCs w:val="24"/>
        </w:rPr>
        <w:t>Faculty of Advocates</w:t>
      </w:r>
    </w:p>
    <w:p w:rsidR="000F60BA" w:rsidRDefault="000F60BA" w:rsidP="000F60BA">
      <w:pPr>
        <w:rPr>
          <w:rFonts w:cs="Arial"/>
          <w:szCs w:val="24"/>
        </w:rPr>
      </w:pPr>
      <w:r>
        <w:rPr>
          <w:rFonts w:cs="Arial"/>
          <w:szCs w:val="24"/>
        </w:rPr>
        <w:t xml:space="preserve">Institute of Chartered Accountants of Scotland </w:t>
      </w:r>
    </w:p>
    <w:p w:rsidR="009B1EAC" w:rsidRDefault="009B1EAC" w:rsidP="009B1EAC">
      <w:pPr>
        <w:rPr>
          <w:rFonts w:cs="Arial"/>
          <w:szCs w:val="24"/>
        </w:rPr>
      </w:pPr>
      <w:r>
        <w:rPr>
          <w:rFonts w:cs="Arial"/>
          <w:szCs w:val="24"/>
        </w:rPr>
        <w:t>Law Society of Scotland</w:t>
      </w:r>
    </w:p>
    <w:p w:rsidR="000F60BA" w:rsidRDefault="000F60BA" w:rsidP="000F60BA">
      <w:pPr>
        <w:rPr>
          <w:rFonts w:cs="Arial"/>
          <w:szCs w:val="24"/>
        </w:rPr>
      </w:pPr>
      <w:r>
        <w:rPr>
          <w:rFonts w:cs="Arial"/>
          <w:szCs w:val="24"/>
        </w:rPr>
        <w:t>Mental Health Tribunal for Scotland</w:t>
      </w:r>
    </w:p>
    <w:p w:rsidR="000F60BA" w:rsidRDefault="000F60BA" w:rsidP="000F60BA">
      <w:pPr>
        <w:rPr>
          <w:rFonts w:cs="Arial"/>
          <w:szCs w:val="24"/>
        </w:rPr>
      </w:pPr>
      <w:r>
        <w:rPr>
          <w:rFonts w:cs="Arial"/>
          <w:szCs w:val="24"/>
        </w:rPr>
        <w:t>President of the Private Rented Housing Panel and Homeowner Housing Panel</w:t>
      </w:r>
    </w:p>
    <w:p w:rsidR="000F60BA" w:rsidRDefault="000F60BA" w:rsidP="000F60BA">
      <w:pPr>
        <w:rPr>
          <w:rFonts w:cs="Arial"/>
          <w:szCs w:val="24"/>
        </w:rPr>
      </w:pPr>
      <w:r>
        <w:rPr>
          <w:rFonts w:cs="Arial"/>
          <w:szCs w:val="24"/>
        </w:rPr>
        <w:t>PricewaterhouseCoopers</w:t>
      </w:r>
    </w:p>
    <w:p w:rsidR="009B1EAC" w:rsidRDefault="009B1EAC" w:rsidP="009B1EAC">
      <w:pPr>
        <w:rPr>
          <w:rFonts w:cs="Arial"/>
          <w:szCs w:val="24"/>
        </w:rPr>
      </w:pPr>
      <w:r>
        <w:rPr>
          <w:rFonts w:cs="Arial"/>
          <w:szCs w:val="24"/>
        </w:rPr>
        <w:t>Scottish Tribunals and Administrative Justice Committee</w:t>
      </w:r>
    </w:p>
    <w:p w:rsidR="000F60BA" w:rsidRDefault="000F60BA" w:rsidP="009B1EAC">
      <w:pPr>
        <w:rPr>
          <w:rFonts w:cs="Arial"/>
          <w:szCs w:val="24"/>
        </w:rPr>
      </w:pPr>
      <w:r>
        <w:rPr>
          <w:rFonts w:cs="Arial"/>
          <w:szCs w:val="24"/>
        </w:rPr>
        <w:t>Scottish Valuation Appeal Committee Forum</w:t>
      </w:r>
    </w:p>
    <w:p w:rsidR="000F60BA" w:rsidRDefault="000F60BA" w:rsidP="009B1EAC">
      <w:pPr>
        <w:rPr>
          <w:rFonts w:cs="Arial"/>
          <w:szCs w:val="24"/>
        </w:rPr>
      </w:pPr>
      <w:r>
        <w:rPr>
          <w:rFonts w:cs="Arial"/>
          <w:szCs w:val="24"/>
        </w:rPr>
        <w:t>Julian Stafford</w:t>
      </w:r>
    </w:p>
    <w:p w:rsidR="000F60BA" w:rsidRDefault="000F60BA" w:rsidP="009B1EAC">
      <w:pPr>
        <w:rPr>
          <w:rFonts w:cs="Arial"/>
          <w:szCs w:val="24"/>
        </w:rPr>
      </w:pPr>
    </w:p>
    <w:p w:rsidR="000F60BA" w:rsidRDefault="000F60BA" w:rsidP="009B1EAC">
      <w:pPr>
        <w:rPr>
          <w:rFonts w:cs="Arial"/>
          <w:szCs w:val="24"/>
        </w:rPr>
      </w:pPr>
      <w:r>
        <w:rPr>
          <w:rFonts w:cs="Arial"/>
          <w:szCs w:val="24"/>
        </w:rPr>
        <w:t xml:space="preserve">Two respondents wished to remain anonymous. </w:t>
      </w:r>
    </w:p>
    <w:p w:rsidR="000F60BA" w:rsidRDefault="000F60BA" w:rsidP="009B1EAC">
      <w:pPr>
        <w:rPr>
          <w:rFonts w:cs="Arial"/>
          <w:szCs w:val="24"/>
        </w:rPr>
      </w:pPr>
    </w:p>
    <w:p w:rsidR="00023091" w:rsidRPr="00326BBC" w:rsidRDefault="00023091" w:rsidP="009B3CCB">
      <w:pPr>
        <w:spacing w:after="200"/>
        <w:rPr>
          <w:rFonts w:cs="Arial"/>
          <w:b/>
          <w:szCs w:val="24"/>
        </w:rPr>
      </w:pPr>
    </w:p>
    <w:sectPr w:rsidR="00023091" w:rsidRPr="00326BB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0B6" w:rsidRDefault="00DC20B6" w:rsidP="00295E65">
      <w:pPr>
        <w:spacing w:after="0" w:line="240" w:lineRule="auto"/>
      </w:pPr>
      <w:r>
        <w:separator/>
      </w:r>
    </w:p>
  </w:endnote>
  <w:endnote w:type="continuationSeparator" w:id="0">
    <w:p w:rsidR="00DC20B6" w:rsidRDefault="00DC20B6" w:rsidP="002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8912"/>
      <w:docPartObj>
        <w:docPartGallery w:val="Page Numbers (Bottom of Page)"/>
        <w:docPartUnique/>
      </w:docPartObj>
    </w:sdtPr>
    <w:sdtEndPr>
      <w:rPr>
        <w:noProof/>
      </w:rPr>
    </w:sdtEndPr>
    <w:sdtContent>
      <w:p w:rsidR="00074F14" w:rsidRDefault="00074F14">
        <w:pPr>
          <w:pStyle w:val="Footer"/>
          <w:jc w:val="center"/>
        </w:pPr>
        <w:r>
          <w:fldChar w:fldCharType="begin"/>
        </w:r>
        <w:r>
          <w:instrText xml:space="preserve"> PAGE   \* MERGEFORMAT </w:instrText>
        </w:r>
        <w:r>
          <w:fldChar w:fldCharType="separate"/>
        </w:r>
        <w:r w:rsidR="00440C4E">
          <w:rPr>
            <w:noProof/>
          </w:rPr>
          <w:t>1</w:t>
        </w:r>
        <w:r>
          <w:rPr>
            <w:noProof/>
          </w:rPr>
          <w:fldChar w:fldCharType="end"/>
        </w:r>
      </w:p>
    </w:sdtContent>
  </w:sdt>
  <w:p w:rsidR="00074F14" w:rsidRDefault="0007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0B6" w:rsidRDefault="00DC20B6" w:rsidP="00295E65">
      <w:pPr>
        <w:spacing w:after="0" w:line="240" w:lineRule="auto"/>
      </w:pPr>
      <w:r>
        <w:separator/>
      </w:r>
    </w:p>
  </w:footnote>
  <w:footnote w:type="continuationSeparator" w:id="0">
    <w:p w:rsidR="00DC20B6" w:rsidRDefault="00DC20B6" w:rsidP="00295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2ABF54"/>
    <w:lvl w:ilvl="0">
      <w:start w:val="1"/>
      <w:numFmt w:val="decimal"/>
      <w:lvlText w:val="%1."/>
      <w:legacy w:legacy="1" w:legacySpace="288" w:legacyIndent="720"/>
      <w:lvlJc w:val="left"/>
      <w:pPr>
        <w:ind w:left="0" w:firstLine="425"/>
      </w:pPr>
    </w:lvl>
    <w:lvl w:ilvl="1">
      <w:start w:val="1"/>
      <w:numFmt w:val="decimal"/>
      <w:lvlText w:val="%1.%2"/>
      <w:legacy w:legacy="1" w:legacySpace="284" w:legacyIndent="720"/>
      <w:lvlJc w:val="left"/>
      <w:pPr>
        <w:ind w:left="0" w:firstLine="425"/>
      </w:pPr>
    </w:lvl>
    <w:lvl w:ilvl="2">
      <w:start w:val="1"/>
      <w:numFmt w:val="decimal"/>
      <w:pStyle w:val="Heading3"/>
      <w:lvlText w:val="%1.%2.%3"/>
      <w:legacy w:legacy="1" w:legacySpace="284" w:legacyIndent="720"/>
      <w:lvlJc w:val="left"/>
      <w:pPr>
        <w:ind w:left="0" w:firstLine="425"/>
      </w:pPr>
    </w:lvl>
    <w:lvl w:ilvl="3">
      <w:start w:val="1"/>
      <w:numFmt w:val="decimal"/>
      <w:lvlText w:val="%1.%2.%3.%4"/>
      <w:legacy w:legacy="1" w:legacySpace="144" w:legacyIndent="0"/>
      <w:lvlJc w:val="left"/>
      <w:pPr>
        <w:ind w:left="0" w:firstLine="425"/>
      </w:pPr>
    </w:lvl>
    <w:lvl w:ilvl="4">
      <w:start w:val="1"/>
      <w:numFmt w:val="decimal"/>
      <w:lvlText w:val="%1.%2.%3.%4.%5"/>
      <w:legacy w:legacy="1" w:legacySpace="144" w:legacyIndent="0"/>
      <w:lvlJc w:val="left"/>
      <w:pPr>
        <w:ind w:left="0" w:firstLine="425"/>
      </w:pPr>
    </w:lvl>
    <w:lvl w:ilvl="5">
      <w:start w:val="1"/>
      <w:numFmt w:val="decimal"/>
      <w:lvlText w:val="%1.%2.%3.%4.%5.%6"/>
      <w:legacy w:legacy="1" w:legacySpace="144" w:legacyIndent="0"/>
      <w:lvlJc w:val="left"/>
      <w:pPr>
        <w:ind w:left="0" w:firstLine="425"/>
      </w:pPr>
    </w:lvl>
    <w:lvl w:ilvl="6">
      <w:start w:val="1"/>
      <w:numFmt w:val="decimal"/>
      <w:lvlText w:val="%1.%2.%3.%4.%5.%6.%7"/>
      <w:legacy w:legacy="1" w:legacySpace="144" w:legacyIndent="0"/>
      <w:lvlJc w:val="left"/>
      <w:pPr>
        <w:ind w:left="0" w:firstLine="425"/>
      </w:pPr>
    </w:lvl>
    <w:lvl w:ilvl="7">
      <w:start w:val="1"/>
      <w:numFmt w:val="decimal"/>
      <w:lvlText w:val="%1.%2.%3.%4.%5.%6.%7.%8"/>
      <w:legacy w:legacy="1" w:legacySpace="144" w:legacyIndent="0"/>
      <w:lvlJc w:val="left"/>
      <w:pPr>
        <w:ind w:left="0" w:firstLine="425"/>
      </w:pPr>
    </w:lvl>
    <w:lvl w:ilvl="8">
      <w:start w:val="1"/>
      <w:numFmt w:val="decimal"/>
      <w:lvlText w:val="%1.%2.%3.%4.%5.%6.%7.%8.%9"/>
      <w:legacy w:legacy="1" w:legacySpace="144" w:legacyIndent="0"/>
      <w:lvlJc w:val="left"/>
      <w:pPr>
        <w:ind w:left="0" w:firstLine="425"/>
      </w:pPr>
    </w:lvl>
  </w:abstractNum>
  <w:abstractNum w:abstractNumId="1">
    <w:nsid w:val="0BAD252C"/>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3DB5FB8"/>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AD47F73"/>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E2C271A"/>
    <w:multiLevelType w:val="hybridMultilevel"/>
    <w:tmpl w:val="59267442"/>
    <w:lvl w:ilvl="0" w:tplc="A57C37A4">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8325C0"/>
    <w:multiLevelType w:val="hybridMultilevel"/>
    <w:tmpl w:val="C8C25DC4"/>
    <w:lvl w:ilvl="0" w:tplc="2BC2F4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9B07218"/>
    <w:multiLevelType w:val="hybridMultilevel"/>
    <w:tmpl w:val="940C3CF4"/>
    <w:lvl w:ilvl="0" w:tplc="E766D682">
      <w:start w:val="1"/>
      <w:numFmt w:val="decimal"/>
      <w:lvlText w:val="%1."/>
      <w:lvlJc w:val="left"/>
      <w:pPr>
        <w:ind w:left="465" w:hanging="465"/>
      </w:pPr>
      <w:rPr>
        <w:rFonts w:hint="default"/>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04F7549"/>
    <w:multiLevelType w:val="hybridMultilevel"/>
    <w:tmpl w:val="770E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E947243"/>
    <w:multiLevelType w:val="hybridMultilevel"/>
    <w:tmpl w:val="9290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3316A1"/>
    <w:multiLevelType w:val="hybridMultilevel"/>
    <w:tmpl w:val="A2FC072A"/>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0">
    <w:nsid w:val="4A240591"/>
    <w:multiLevelType w:val="hybridMultilevel"/>
    <w:tmpl w:val="7AC07E8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5940EF9"/>
    <w:multiLevelType w:val="hybridMultilevel"/>
    <w:tmpl w:val="FB767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10"/>
  </w:num>
  <w:num w:numId="6">
    <w:abstractNumId w:val="9"/>
  </w:num>
  <w:num w:numId="7">
    <w:abstractNumId w:val="4"/>
  </w:num>
  <w:num w:numId="8">
    <w:abstractNumId w:val="8"/>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33"/>
    <w:rsid w:val="00014C33"/>
    <w:rsid w:val="00015932"/>
    <w:rsid w:val="00023091"/>
    <w:rsid w:val="00027BD0"/>
    <w:rsid w:val="000728EA"/>
    <w:rsid w:val="00074F14"/>
    <w:rsid w:val="00094DCB"/>
    <w:rsid w:val="000B76CD"/>
    <w:rsid w:val="000C03A6"/>
    <w:rsid w:val="000D300D"/>
    <w:rsid w:val="000D4A7C"/>
    <w:rsid w:val="000E22F6"/>
    <w:rsid w:val="000E3BD3"/>
    <w:rsid w:val="000F0933"/>
    <w:rsid w:val="000F3053"/>
    <w:rsid w:val="000F5120"/>
    <w:rsid w:val="000F60BA"/>
    <w:rsid w:val="001123CC"/>
    <w:rsid w:val="001134DF"/>
    <w:rsid w:val="00167003"/>
    <w:rsid w:val="00181ADD"/>
    <w:rsid w:val="001D08DE"/>
    <w:rsid w:val="001D2BCD"/>
    <w:rsid w:val="001F73D8"/>
    <w:rsid w:val="002037DD"/>
    <w:rsid w:val="002077A9"/>
    <w:rsid w:val="00223C4A"/>
    <w:rsid w:val="00261F3B"/>
    <w:rsid w:val="00271243"/>
    <w:rsid w:val="00295E65"/>
    <w:rsid w:val="002B2C89"/>
    <w:rsid w:val="002E15A9"/>
    <w:rsid w:val="002F459A"/>
    <w:rsid w:val="00326BBC"/>
    <w:rsid w:val="0033362A"/>
    <w:rsid w:val="00345204"/>
    <w:rsid w:val="00352BE9"/>
    <w:rsid w:val="003A6C8F"/>
    <w:rsid w:val="003E141D"/>
    <w:rsid w:val="004332FC"/>
    <w:rsid w:val="00440C4E"/>
    <w:rsid w:val="00444D63"/>
    <w:rsid w:val="00475B98"/>
    <w:rsid w:val="0048653E"/>
    <w:rsid w:val="004930AE"/>
    <w:rsid w:val="004954E4"/>
    <w:rsid w:val="00560394"/>
    <w:rsid w:val="00560759"/>
    <w:rsid w:val="0056133A"/>
    <w:rsid w:val="005C0682"/>
    <w:rsid w:val="005E127E"/>
    <w:rsid w:val="005F6A2D"/>
    <w:rsid w:val="00610559"/>
    <w:rsid w:val="006344FB"/>
    <w:rsid w:val="00666A2B"/>
    <w:rsid w:val="00677F21"/>
    <w:rsid w:val="006A7BBE"/>
    <w:rsid w:val="006F19F7"/>
    <w:rsid w:val="00716B0F"/>
    <w:rsid w:val="00720412"/>
    <w:rsid w:val="00770BBE"/>
    <w:rsid w:val="007764E0"/>
    <w:rsid w:val="007964ED"/>
    <w:rsid w:val="007A4A66"/>
    <w:rsid w:val="007B013A"/>
    <w:rsid w:val="007B7D3A"/>
    <w:rsid w:val="007D278F"/>
    <w:rsid w:val="007E6F7F"/>
    <w:rsid w:val="008341D7"/>
    <w:rsid w:val="00836E5B"/>
    <w:rsid w:val="00862BA9"/>
    <w:rsid w:val="00864EBE"/>
    <w:rsid w:val="008A0A2B"/>
    <w:rsid w:val="008A1D84"/>
    <w:rsid w:val="0092328A"/>
    <w:rsid w:val="00954B21"/>
    <w:rsid w:val="00971544"/>
    <w:rsid w:val="009A397F"/>
    <w:rsid w:val="009B1EAC"/>
    <w:rsid w:val="009B3CCB"/>
    <w:rsid w:val="00A004AE"/>
    <w:rsid w:val="00A026AA"/>
    <w:rsid w:val="00A33D95"/>
    <w:rsid w:val="00A43B78"/>
    <w:rsid w:val="00A4527E"/>
    <w:rsid w:val="00A646C5"/>
    <w:rsid w:val="00A870D4"/>
    <w:rsid w:val="00AC5D69"/>
    <w:rsid w:val="00AD3876"/>
    <w:rsid w:val="00B1191D"/>
    <w:rsid w:val="00B21011"/>
    <w:rsid w:val="00B45EA9"/>
    <w:rsid w:val="00B52BDE"/>
    <w:rsid w:val="00B5509E"/>
    <w:rsid w:val="00B67BD6"/>
    <w:rsid w:val="00B75861"/>
    <w:rsid w:val="00B772B9"/>
    <w:rsid w:val="00B927FE"/>
    <w:rsid w:val="00BD02AC"/>
    <w:rsid w:val="00BD38E3"/>
    <w:rsid w:val="00BE7C1F"/>
    <w:rsid w:val="00C55574"/>
    <w:rsid w:val="00C775EA"/>
    <w:rsid w:val="00C9184A"/>
    <w:rsid w:val="00CD03B5"/>
    <w:rsid w:val="00CF2462"/>
    <w:rsid w:val="00D651F9"/>
    <w:rsid w:val="00DA62F7"/>
    <w:rsid w:val="00DA63D5"/>
    <w:rsid w:val="00DC20B6"/>
    <w:rsid w:val="00DE3297"/>
    <w:rsid w:val="00E0631B"/>
    <w:rsid w:val="00E6030A"/>
    <w:rsid w:val="00ED3BC1"/>
    <w:rsid w:val="00EE25A9"/>
    <w:rsid w:val="00EE2818"/>
    <w:rsid w:val="00F14485"/>
    <w:rsid w:val="00F16AB3"/>
    <w:rsid w:val="00F24FF5"/>
    <w:rsid w:val="00F4015A"/>
    <w:rsid w:val="00F94218"/>
    <w:rsid w:val="00FB3464"/>
    <w:rsid w:val="00FC5E20"/>
    <w:rsid w:val="00FE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ssi/2015/381/contents/made" TargetMode="Externa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81D8-1A93-4F31-81CF-6EF411FB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u203871</dc:creator>
  <cp:lastModifiedBy>U419397</cp:lastModifiedBy>
  <cp:revision>2</cp:revision>
  <cp:lastPrinted>2016-01-18T14:21:00Z</cp:lastPrinted>
  <dcterms:created xsi:type="dcterms:W3CDTF">2016-02-01T09:38:00Z</dcterms:created>
  <dcterms:modified xsi:type="dcterms:W3CDTF">2016-02-01T09:38:00Z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A13192665</vt:lpwstr>
  </property>
  <property fmtid="{D5CDD505-2E9C-101B-9397-08002B2CF9AE}" pid="4" name="Objective-Title">
    <vt:lpwstr>Eligibility criteria - analysis of responses to consultation</vt:lpwstr>
  </property>
  <property fmtid="{D5CDD505-2E9C-101B-9397-08002B2CF9AE}" pid="5" name="Objective-Comment">
    <vt:lpwstr>
    </vt:lpwstr>
  </property>
  <property fmtid="{D5CDD505-2E9C-101B-9397-08002B2CF9AE}" pid="6" name="Objective-CreationStamp">
    <vt:filetime>2016-01-18T11:10:39Z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2016-01-18T15:50:52Z</vt:filetime>
  </property>
  <property fmtid="{D5CDD505-2E9C-101B-9397-08002B2CF9AE}" pid="11" name="Objective-Owner">
    <vt:lpwstr>Frodsham, Hannah H (U419397)</vt:lpwstr>
  </property>
  <property fmtid="{D5CDD505-2E9C-101B-9397-08002B2CF9AE}" pid="12" name="Objective-Path">
    <vt:lpwstr>Objective Global Folder:SG File Plan:Crime, law, justice and rights:Justice system:General:Advice and policy: Justice system - general:Tribunals: Tribunals (Scotland) Act 2014 Consultations: 2015-2020:</vt:lpwstr>
  </property>
  <property fmtid="{D5CDD505-2E9C-101B-9397-08002B2CF9AE}" pid="13" name="Objective-Parent">
    <vt:lpwstr>Tribunals: Tribunals (Scotland) Act 2014 Consultations: 2015-2020</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