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22F6" w:rsidRDefault="00DF2ACF"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59264" behindDoc="0" locked="0" layoutInCell="1" allowOverlap="1" wp14:anchorId="16168A20" wp14:editId="79BDA91D">
                <wp:simplePos x="0" y="0"/>
                <wp:positionH relativeFrom="margin">
                  <wp:posOffset>-504825</wp:posOffset>
                </wp:positionH>
                <wp:positionV relativeFrom="paragraph">
                  <wp:posOffset>-447675</wp:posOffset>
                </wp:positionV>
                <wp:extent cx="7086600" cy="8505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7086600" cy="850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2ACF" w:rsidRPr="0096756C" w:rsidRDefault="00DF2ACF" w:rsidP="00DF2ACF">
                            <w:pPr>
                              <w:spacing w:after="0" w:line="240" w:lineRule="auto"/>
                              <w:ind w:left="357"/>
                              <w:rPr>
                                <w:rStyle w:val="Strong"/>
                                <w:rFonts w:asciiTheme="minorHAnsi" w:hAnsiTheme="minorHAnsi" w:cstheme="minorHAnsi"/>
                                <w:sz w:val="56"/>
                                <w:szCs w:val="72"/>
                              </w:rPr>
                            </w:pPr>
                            <w:r w:rsidRPr="0096756C">
                              <w:rPr>
                                <w:rStyle w:val="Strong"/>
                                <w:rFonts w:asciiTheme="minorHAnsi" w:hAnsiTheme="minorHAnsi" w:cstheme="minorHAnsi"/>
                                <w:sz w:val="56"/>
                                <w:szCs w:val="72"/>
                              </w:rPr>
                              <w:t>Tribunals (Scotland) Act 2014 - Consultation on Draft Regulations regarding:</w:t>
                            </w: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 xml:space="preserve">the Transfer of Functions and Members of the </w:t>
                            </w:r>
                            <w:r w:rsidR="00DE4644">
                              <w:rPr>
                                <w:rStyle w:val="Strong"/>
                                <w:rFonts w:cstheme="minorHAnsi"/>
                                <w:sz w:val="56"/>
                                <w:szCs w:val="72"/>
                              </w:rPr>
                              <w:t>Scottish Charity Appeals Panel</w:t>
                            </w:r>
                            <w:r w:rsidRPr="0096756C">
                              <w:rPr>
                                <w:rStyle w:val="Strong"/>
                                <w:rFonts w:cstheme="minorHAnsi"/>
                                <w:sz w:val="56"/>
                                <w:szCs w:val="72"/>
                              </w:rPr>
                              <w:t xml:space="preserve"> to the Scottish Tribunals;</w:t>
                            </w:r>
                          </w:p>
                          <w:p w:rsidR="0096756C" w:rsidRPr="0096756C" w:rsidRDefault="0096756C" w:rsidP="0096756C">
                            <w:pPr>
                              <w:pStyle w:val="ListParagraph"/>
                              <w:spacing w:after="0" w:line="240" w:lineRule="auto"/>
                              <w:ind w:left="1122"/>
                              <w:rPr>
                                <w:rStyle w:val="Strong"/>
                                <w:rFonts w:cstheme="minorHAnsi"/>
                                <w:sz w:val="56"/>
                                <w:szCs w:val="72"/>
                              </w:rPr>
                            </w:pP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 xml:space="preserve">the rules of procedure for the First-tier Tribunal for Scotland </w:t>
                            </w:r>
                            <w:r w:rsidR="00DE4644">
                              <w:rPr>
                                <w:rStyle w:val="Strong"/>
                                <w:rFonts w:cstheme="minorHAnsi"/>
                                <w:sz w:val="56"/>
                                <w:szCs w:val="72"/>
                              </w:rPr>
                              <w:t>General Regulatory</w:t>
                            </w:r>
                            <w:r w:rsidR="0096756C" w:rsidRPr="0096756C">
                              <w:rPr>
                                <w:rStyle w:val="Strong"/>
                                <w:rFonts w:cstheme="minorHAnsi"/>
                                <w:sz w:val="56"/>
                                <w:szCs w:val="72"/>
                              </w:rPr>
                              <w:t xml:space="preserve"> Chamber</w:t>
                            </w:r>
                            <w:r w:rsidRPr="0096756C">
                              <w:rPr>
                                <w:rStyle w:val="Strong"/>
                                <w:rFonts w:cstheme="minorHAnsi"/>
                                <w:sz w:val="56"/>
                                <w:szCs w:val="72"/>
                              </w:rPr>
                              <w:t xml:space="preserve"> </w:t>
                            </w:r>
                          </w:p>
                          <w:p w:rsidR="0096756C" w:rsidRPr="0096756C" w:rsidRDefault="0096756C" w:rsidP="0096756C">
                            <w:pPr>
                              <w:spacing w:after="0" w:line="240" w:lineRule="auto"/>
                              <w:rPr>
                                <w:rStyle w:val="Strong"/>
                                <w:rFonts w:asciiTheme="minorHAnsi" w:hAnsiTheme="minorHAnsi" w:cstheme="minorHAnsi"/>
                                <w:sz w:val="56"/>
                                <w:szCs w:val="72"/>
                              </w:rPr>
                            </w:pP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the Composition of the First-tier and Upper Tribunals for Scotland</w:t>
                            </w:r>
                            <w:r w:rsidR="0096756C" w:rsidRPr="0096756C">
                              <w:rPr>
                                <w:rStyle w:val="Strong"/>
                                <w:rFonts w:cstheme="minorHAnsi"/>
                                <w:sz w:val="56"/>
                                <w:szCs w:val="72"/>
                              </w:rPr>
                              <w:t xml:space="preserve"> and </w:t>
                            </w:r>
                          </w:p>
                          <w:p w:rsidR="0096756C" w:rsidRPr="0096756C" w:rsidRDefault="0096756C" w:rsidP="0096756C">
                            <w:pPr>
                              <w:spacing w:after="0" w:line="240" w:lineRule="auto"/>
                              <w:rPr>
                                <w:rStyle w:val="Strong"/>
                                <w:rFonts w:asciiTheme="minorHAnsi" w:hAnsiTheme="minorHAnsi" w:cstheme="minorHAnsi"/>
                                <w:sz w:val="56"/>
                                <w:szCs w:val="72"/>
                              </w:rPr>
                            </w:pPr>
                          </w:p>
                          <w:p w:rsidR="0096756C" w:rsidRPr="0096756C" w:rsidRDefault="0096756C" w:rsidP="0096756C">
                            <w:pPr>
                              <w:spacing w:after="0" w:line="240" w:lineRule="auto"/>
                              <w:ind w:left="357"/>
                              <w:rPr>
                                <w:rStyle w:val="Strong"/>
                                <w:rFonts w:asciiTheme="minorHAnsi" w:hAnsiTheme="minorHAnsi" w:cstheme="minorHAnsi"/>
                                <w:sz w:val="56"/>
                                <w:szCs w:val="72"/>
                              </w:rPr>
                            </w:pPr>
                            <w:r w:rsidRPr="0096756C">
                              <w:rPr>
                                <w:rStyle w:val="Strong"/>
                                <w:rFonts w:asciiTheme="minorHAnsi" w:hAnsiTheme="minorHAnsi" w:cstheme="minorHAnsi"/>
                                <w:sz w:val="56"/>
                                <w:szCs w:val="72"/>
                              </w:rPr>
                              <w:t>(4) Eligibility criteria for ordinary members</w:t>
                            </w:r>
                          </w:p>
                          <w:p w:rsidR="0096756C" w:rsidRDefault="0096756C" w:rsidP="0096756C">
                            <w:pPr>
                              <w:spacing w:after="0" w:line="240" w:lineRule="auto"/>
                              <w:rPr>
                                <w:rStyle w:val="Strong"/>
                                <w:rFonts w:asciiTheme="minorHAnsi" w:hAnsiTheme="minorHAnsi" w:cstheme="minorHAnsi"/>
                                <w:sz w:val="56"/>
                                <w:szCs w:val="72"/>
                              </w:rPr>
                            </w:pPr>
                          </w:p>
                          <w:p w:rsidR="0096756C" w:rsidRDefault="0096756C" w:rsidP="0096756C">
                            <w:pPr>
                              <w:spacing w:after="0" w:line="240" w:lineRule="auto"/>
                              <w:rPr>
                                <w:rStyle w:val="Strong"/>
                                <w:rFonts w:asciiTheme="minorHAnsi" w:hAnsiTheme="minorHAnsi" w:cstheme="minorHAnsi"/>
                                <w:sz w:val="56"/>
                                <w:szCs w:val="72"/>
                              </w:rPr>
                            </w:pPr>
                          </w:p>
                          <w:p w:rsidR="00B927FE" w:rsidRPr="0096756C" w:rsidRDefault="0096756C" w:rsidP="0096756C">
                            <w:pPr>
                              <w:spacing w:after="0" w:line="240" w:lineRule="auto"/>
                              <w:rPr>
                                <w:rStyle w:val="Strong"/>
                                <w:rFonts w:asciiTheme="minorHAnsi" w:hAnsiTheme="minorHAnsi" w:cstheme="minorHAnsi"/>
                                <w:sz w:val="56"/>
                                <w:szCs w:val="72"/>
                              </w:rPr>
                            </w:pPr>
                            <w:r>
                              <w:rPr>
                                <w:rStyle w:val="Strong"/>
                                <w:rFonts w:asciiTheme="minorHAnsi" w:hAnsiTheme="minorHAnsi" w:cstheme="minorHAnsi"/>
                                <w:sz w:val="56"/>
                                <w:szCs w:val="72"/>
                              </w:rPr>
                              <w:t>Analysis of Responses</w:t>
                            </w: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5pt;margin-top:-35.25pt;width:558pt;height:6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" fillcolor="white [3201]" stroked="f" strokeweight=".5pt">
                <v:textbox>
                  <w:txbxContent>
                    <w:p w:rsidR="00DF2ACF" w:rsidRPr="0096756C" w:rsidRDefault="00DF2ACF" w:rsidP="00DF2ACF">
                      <w:pPr>
                        <w:spacing w:after="0" w:line="240" w:lineRule="auto"/>
                        <w:ind w:left="357"/>
                        <w:rPr>
                          <w:rStyle w:val="Strong"/>
                          <w:rFonts w:asciiTheme="minorHAnsi" w:hAnsiTheme="minorHAnsi" w:cstheme="minorHAnsi"/>
                          <w:sz w:val="56"/>
                          <w:szCs w:val="72"/>
                        </w:rPr>
                      </w:pPr>
                      <w:r w:rsidRPr="0096756C">
                        <w:rPr>
                          <w:rStyle w:val="Strong"/>
                          <w:rFonts w:asciiTheme="minorHAnsi" w:hAnsiTheme="minorHAnsi" w:cstheme="minorHAnsi"/>
                          <w:sz w:val="56"/>
                          <w:szCs w:val="72"/>
                        </w:rPr>
                        <w:t>Tribunals (Scotland) Act 2014 - Consultation on Draft Regulations regarding:</w:t>
                      </w: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 xml:space="preserve">the Transfer of Functions and Members of the </w:t>
                      </w:r>
                      <w:r w:rsidR="00DE4644">
                        <w:rPr>
                          <w:rStyle w:val="Strong"/>
                          <w:rFonts w:cstheme="minorHAnsi"/>
                          <w:sz w:val="56"/>
                          <w:szCs w:val="72"/>
                        </w:rPr>
                        <w:t>Scottish Charity Appeals Panel</w:t>
                      </w:r>
                      <w:r w:rsidRPr="0096756C">
                        <w:rPr>
                          <w:rStyle w:val="Strong"/>
                          <w:rFonts w:cstheme="minorHAnsi"/>
                          <w:sz w:val="56"/>
                          <w:szCs w:val="72"/>
                        </w:rPr>
                        <w:t xml:space="preserve"> to the Scottish Tribunals;</w:t>
                      </w:r>
                    </w:p>
                    <w:p w:rsidR="0096756C" w:rsidRPr="0096756C" w:rsidRDefault="0096756C" w:rsidP="0096756C">
                      <w:pPr>
                        <w:pStyle w:val="ListParagraph"/>
                        <w:spacing w:after="0" w:line="240" w:lineRule="auto"/>
                        <w:ind w:left="1122"/>
                        <w:rPr>
                          <w:rStyle w:val="Strong"/>
                          <w:rFonts w:cstheme="minorHAnsi"/>
                          <w:sz w:val="56"/>
                          <w:szCs w:val="72"/>
                        </w:rPr>
                      </w:pP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 xml:space="preserve">the rules of procedure for the First-tier Tribunal for Scotland </w:t>
                      </w:r>
                      <w:r w:rsidR="00DE4644">
                        <w:rPr>
                          <w:rStyle w:val="Strong"/>
                          <w:rFonts w:cstheme="minorHAnsi"/>
                          <w:sz w:val="56"/>
                          <w:szCs w:val="72"/>
                        </w:rPr>
                        <w:t>General Regulatory</w:t>
                      </w:r>
                      <w:r w:rsidR="0096756C" w:rsidRPr="0096756C">
                        <w:rPr>
                          <w:rStyle w:val="Strong"/>
                          <w:rFonts w:cstheme="minorHAnsi"/>
                          <w:sz w:val="56"/>
                          <w:szCs w:val="72"/>
                        </w:rPr>
                        <w:t xml:space="preserve"> Chamber</w:t>
                      </w:r>
                      <w:r w:rsidRPr="0096756C">
                        <w:rPr>
                          <w:rStyle w:val="Strong"/>
                          <w:rFonts w:cstheme="minorHAnsi"/>
                          <w:sz w:val="56"/>
                          <w:szCs w:val="72"/>
                        </w:rPr>
                        <w:t xml:space="preserve"> </w:t>
                      </w:r>
                    </w:p>
                    <w:p w:rsidR="0096756C" w:rsidRPr="0096756C" w:rsidRDefault="0096756C" w:rsidP="0096756C">
                      <w:pPr>
                        <w:spacing w:after="0" w:line="240" w:lineRule="auto"/>
                        <w:rPr>
                          <w:rStyle w:val="Strong"/>
                          <w:rFonts w:asciiTheme="minorHAnsi" w:hAnsiTheme="minorHAnsi" w:cstheme="minorHAnsi"/>
                          <w:sz w:val="56"/>
                          <w:szCs w:val="72"/>
                        </w:rPr>
                      </w:pP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the Composition of the First-tier and Upper Tribunals for Scotland</w:t>
                      </w:r>
                      <w:r w:rsidR="0096756C" w:rsidRPr="0096756C">
                        <w:rPr>
                          <w:rStyle w:val="Strong"/>
                          <w:rFonts w:cstheme="minorHAnsi"/>
                          <w:sz w:val="56"/>
                          <w:szCs w:val="72"/>
                        </w:rPr>
                        <w:t xml:space="preserve"> and </w:t>
                      </w:r>
                    </w:p>
                    <w:p w:rsidR="0096756C" w:rsidRPr="0096756C" w:rsidRDefault="0096756C" w:rsidP="0096756C">
                      <w:pPr>
                        <w:spacing w:after="0" w:line="240" w:lineRule="auto"/>
                        <w:rPr>
                          <w:rStyle w:val="Strong"/>
                          <w:rFonts w:asciiTheme="minorHAnsi" w:hAnsiTheme="minorHAnsi" w:cstheme="minorHAnsi"/>
                          <w:sz w:val="56"/>
                          <w:szCs w:val="72"/>
                        </w:rPr>
                      </w:pPr>
                    </w:p>
                    <w:p w:rsidR="0096756C" w:rsidRPr="0096756C" w:rsidRDefault="0096756C" w:rsidP="0096756C">
                      <w:pPr>
                        <w:spacing w:after="0" w:line="240" w:lineRule="auto"/>
                        <w:ind w:left="357"/>
                        <w:rPr>
                          <w:rStyle w:val="Strong"/>
                          <w:rFonts w:asciiTheme="minorHAnsi" w:hAnsiTheme="minorHAnsi" w:cstheme="minorHAnsi"/>
                          <w:sz w:val="56"/>
                          <w:szCs w:val="72"/>
                        </w:rPr>
                      </w:pPr>
                      <w:r w:rsidRPr="0096756C">
                        <w:rPr>
                          <w:rStyle w:val="Strong"/>
                          <w:rFonts w:asciiTheme="minorHAnsi" w:hAnsiTheme="minorHAnsi" w:cstheme="minorHAnsi"/>
                          <w:sz w:val="56"/>
                          <w:szCs w:val="72"/>
                        </w:rPr>
                        <w:t>(4) Eligibility criteria for ordinary members</w:t>
                      </w:r>
                    </w:p>
                    <w:p w:rsidR="0096756C" w:rsidRDefault="0096756C" w:rsidP="0096756C">
                      <w:pPr>
                        <w:spacing w:after="0" w:line="240" w:lineRule="auto"/>
                        <w:rPr>
                          <w:rStyle w:val="Strong"/>
                          <w:rFonts w:asciiTheme="minorHAnsi" w:hAnsiTheme="minorHAnsi" w:cstheme="minorHAnsi"/>
                          <w:sz w:val="56"/>
                          <w:szCs w:val="72"/>
                        </w:rPr>
                      </w:pPr>
                    </w:p>
                    <w:p w:rsidR="0096756C" w:rsidRDefault="0096756C" w:rsidP="0096756C">
                      <w:pPr>
                        <w:spacing w:after="0" w:line="240" w:lineRule="auto"/>
                        <w:rPr>
                          <w:rStyle w:val="Strong"/>
                          <w:rFonts w:asciiTheme="minorHAnsi" w:hAnsiTheme="minorHAnsi" w:cstheme="minorHAnsi"/>
                          <w:sz w:val="56"/>
                          <w:szCs w:val="72"/>
                        </w:rPr>
                      </w:pPr>
                    </w:p>
                    <w:p w:rsidR="00B927FE" w:rsidRPr="0096756C" w:rsidRDefault="0096756C" w:rsidP="0096756C">
                      <w:pPr>
                        <w:spacing w:after="0" w:line="240" w:lineRule="auto"/>
                        <w:rPr>
                          <w:rStyle w:val="Strong"/>
                          <w:rFonts w:asciiTheme="minorHAnsi" w:hAnsiTheme="minorHAnsi" w:cstheme="minorHAnsi"/>
                          <w:sz w:val="56"/>
                          <w:szCs w:val="72"/>
                        </w:rPr>
                      </w:pPr>
                      <w:r>
                        <w:rPr>
                          <w:rStyle w:val="Strong"/>
                          <w:rFonts w:asciiTheme="minorHAnsi" w:hAnsiTheme="minorHAnsi" w:cstheme="minorHAnsi"/>
                          <w:sz w:val="56"/>
                          <w:szCs w:val="72"/>
                        </w:rPr>
                        <w:t>Analysis of Responses</w:t>
                      </w: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v:textbox>
                <w10:wrap anchorx="margin"/>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B927FE">
      <w:pPr>
        <w:spacing w:line="240" w:lineRule="auto"/>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60288" behindDoc="0" locked="0" layoutInCell="1" allowOverlap="1" wp14:anchorId="282E5C48" wp14:editId="1597080E">
                <wp:simplePos x="0" y="0"/>
                <wp:positionH relativeFrom="column">
                  <wp:posOffset>4762500</wp:posOffset>
                </wp:positionH>
                <wp:positionV relativeFrom="paragraph">
                  <wp:posOffset>105410</wp:posOffset>
                </wp:positionV>
                <wp:extent cx="1485900" cy="152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013A" w:rsidRDefault="007B013A">
                            <w:r>
                              <w:rPr>
                                <w:rFonts w:cs="Arial"/>
                                <w:b/>
                                <w:bCs/>
                                <w:noProof/>
                                <w:szCs w:val="24"/>
                                <w:lang w:eastAsia="en-GB"/>
                              </w:rPr>
                              <w:drawing>
                                <wp:inline distT="0" distB="0" distL="0" distR="0" wp14:anchorId="0B0B8094" wp14:editId="53505254">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75pt;margin-top:8.3pt;width:117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" filled="f" stroked="f" strokeweight=".5pt">
                <v:textbox>
                  <w:txbxContent>
                    <w:p w:rsidR="007B013A" w:rsidRDefault="007B013A">
                      <w:r>
                        <w:rPr>
                          <w:rFonts w:cs="Arial"/>
                          <w:b/>
                          <w:bCs/>
                          <w:noProof/>
                          <w:szCs w:val="24"/>
                          <w:lang w:eastAsia="en-GB"/>
                        </w:rPr>
                        <w:drawing>
                          <wp:inline distT="0" distB="0" distL="0" distR="0" wp14:anchorId="0B0B8094" wp14:editId="53505254">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v:textbox>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Fonts w:cs="Arial"/>
          <w:b/>
          <w:bCs/>
          <w:noProof/>
          <w:szCs w:val="24"/>
          <w:lang w:eastAsia="en-GB"/>
        </w:rPr>
      </w:pPr>
    </w:p>
    <w:p w:rsidR="0033362A" w:rsidRDefault="00677F21" w:rsidP="000E22F6">
      <w:pPr>
        <w:spacing w:line="240" w:lineRule="auto"/>
        <w:ind w:left="360"/>
        <w:rPr>
          <w:rStyle w:val="Strong"/>
          <w:rFonts w:cs="Arial"/>
          <w:szCs w:val="24"/>
        </w:rPr>
      </w:pPr>
      <w:r w:rsidRPr="00677F21">
        <w:rPr>
          <w:rFonts w:cs="Arial"/>
          <w:b/>
          <w:bCs/>
          <w:noProof/>
          <w:szCs w:val="24"/>
          <w:lang w:eastAsia="en-GB"/>
        </w:rPr>
        <mc:AlternateContent>
          <mc:Choice Requires="wps">
            <w:drawing>
              <wp:anchor distT="0" distB="0" distL="114300" distR="114300" simplePos="0" relativeHeight="251671552" behindDoc="0" locked="0" layoutInCell="1" allowOverlap="1" wp14:anchorId="5E1CC904" wp14:editId="115886AE">
                <wp:simplePos x="0" y="0"/>
                <wp:positionH relativeFrom="column">
                  <wp:posOffset>-585470</wp:posOffset>
                </wp:positionH>
                <wp:positionV relativeFrom="paragraph">
                  <wp:posOffset>24765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77F21" w:rsidRDefault="0096756C">
                            <w:r>
                              <w:t>November</w:t>
                            </w:r>
                            <w:r w:rsidR="00DF2ACF">
                              <w:t xml:space="preserve"> 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left:0;text-align:left;margin-left:-46.1pt;margin-top:1.9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lS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" stroked="f">
                <v:textbox style="mso-fit-shape-to-text:t">
                  <w:txbxContent>
                    <w:p w:rsidR="00677F21" w:rsidRDefault="0096756C">
                      <w:r>
                        <w:t>November</w:t>
                      </w:r>
                      <w:r w:rsidR="00DF2ACF">
                        <w:t xml:space="preserve"> 2017</w:t>
                      </w:r>
                    </w:p>
                  </w:txbxContent>
                </v:textbox>
              </v:shape>
            </w:pict>
          </mc:Fallback>
        </mc:AlternateContent>
      </w:r>
    </w:p>
    <w:p w:rsidR="0033362A" w:rsidRDefault="0033362A" w:rsidP="0033362A">
      <w:pPr>
        <w:rPr>
          <w:rStyle w:val="Strong"/>
          <w:rFonts w:cs="Arial"/>
          <w:szCs w:val="24"/>
        </w:rPr>
      </w:pPr>
      <w:r>
        <w:rPr>
          <w:rStyle w:val="Strong"/>
          <w:rFonts w:cs="Arial"/>
          <w:szCs w:val="24"/>
        </w:rPr>
        <w:br w:type="page"/>
      </w:r>
    </w:p>
    <w:p w:rsidR="00326BBC" w:rsidRDefault="00326BBC" w:rsidP="00326BBC">
      <w:pPr>
        <w:spacing w:after="200"/>
        <w:rPr>
          <w:rStyle w:val="Strong"/>
          <w:rFonts w:cs="Arial"/>
          <w:szCs w:val="24"/>
        </w:rPr>
      </w:pPr>
      <w:r>
        <w:rPr>
          <w:rStyle w:val="Strong"/>
          <w:rFonts w:cs="Arial"/>
          <w:szCs w:val="24"/>
        </w:rPr>
        <w:lastRenderedPageBreak/>
        <w:tab/>
      </w:r>
      <w:r>
        <w:rPr>
          <w:rStyle w:val="Strong"/>
          <w:rFonts w:cs="Arial"/>
          <w:szCs w:val="24"/>
        </w:rPr>
        <w:tab/>
      </w:r>
      <w:r>
        <w:rPr>
          <w:rStyle w:val="Strong"/>
          <w:rFonts w:cs="Arial"/>
          <w:szCs w:val="24"/>
        </w:rPr>
        <w:tab/>
      </w:r>
      <w:r>
        <w:rPr>
          <w:rStyle w:val="Strong"/>
          <w:rFonts w:cs="Arial"/>
          <w:szCs w:val="24"/>
        </w:rPr>
        <w:tab/>
      </w:r>
      <w:r w:rsidR="00B1191D">
        <w:rPr>
          <w:rStyle w:val="Strong"/>
          <w:rFonts w:cs="Arial"/>
          <w:szCs w:val="24"/>
        </w:rPr>
        <w:t>Table of Contents</w:t>
      </w:r>
    </w:p>
    <w:p w:rsidR="00B1191D" w:rsidRDefault="00B1191D" w:rsidP="00326BBC">
      <w:pPr>
        <w:spacing w:after="200"/>
        <w:rPr>
          <w:rStyle w:val="Strong"/>
          <w:rFonts w:cs="Arial"/>
          <w:szCs w:val="24"/>
        </w:rPr>
      </w:pPr>
    </w:p>
    <w:p w:rsidR="00326BBC" w:rsidRDefault="00326BBC"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Pr="00326BBC" w:rsidRDefault="00B1191D" w:rsidP="00326BBC">
      <w:pPr>
        <w:spacing w:after="200"/>
        <w:rPr>
          <w:rStyle w:val="Strong"/>
          <w:rFonts w:cs="Arial"/>
          <w:b w:val="0"/>
          <w:szCs w:val="24"/>
        </w:rPr>
      </w:pPr>
    </w:p>
    <w:p w:rsidR="00326BBC" w:rsidRDefault="00B1191D">
      <w:pPr>
        <w:spacing w:after="200"/>
        <w:rPr>
          <w:rStyle w:val="Strong"/>
          <w:rFonts w:cs="Arial"/>
          <w:b w:val="0"/>
          <w:szCs w:val="24"/>
        </w:rPr>
      </w:pPr>
      <w:r>
        <w:rPr>
          <w:rStyle w:val="Strong"/>
          <w:rFonts w:cs="Arial"/>
          <w:szCs w:val="24"/>
        </w:rPr>
        <w:tab/>
      </w:r>
      <w:r>
        <w:rPr>
          <w:rStyle w:val="Strong"/>
          <w:rFonts w:cs="Arial"/>
          <w:szCs w:val="24"/>
        </w:rPr>
        <w:tab/>
      </w:r>
      <w:r>
        <w:rPr>
          <w:rStyle w:val="Strong"/>
          <w:rFonts w:cs="Arial"/>
          <w:szCs w:val="24"/>
        </w:rPr>
        <w:tab/>
      </w:r>
      <w:r>
        <w:rPr>
          <w:rStyle w:val="Strong"/>
          <w:rFonts w:cs="Arial"/>
          <w:b w:val="0"/>
          <w:szCs w:val="24"/>
        </w:rPr>
        <w:t>Background</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 xml:space="preserve">page </w:t>
      </w:r>
      <w:r w:rsidR="008C536F">
        <w:rPr>
          <w:rStyle w:val="Strong"/>
          <w:rFonts w:cs="Arial"/>
          <w:b w:val="0"/>
          <w:szCs w:val="24"/>
        </w:rPr>
        <w:t>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C</w:t>
      </w:r>
      <w:r w:rsidR="00CD3D32">
        <w:rPr>
          <w:rStyle w:val="Strong"/>
          <w:rFonts w:cs="Arial"/>
          <w:b w:val="0"/>
          <w:szCs w:val="24"/>
        </w:rPr>
        <w:t>onsultation r</w:t>
      </w:r>
      <w:r w:rsidR="00432371">
        <w:rPr>
          <w:rStyle w:val="Strong"/>
          <w:rFonts w:cs="Arial"/>
          <w:b w:val="0"/>
          <w:szCs w:val="24"/>
        </w:rPr>
        <w:t>esponses</w:t>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t>page 4</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r>
      <w:r w:rsidR="00432371">
        <w:rPr>
          <w:rStyle w:val="Strong"/>
          <w:rFonts w:cs="Arial"/>
          <w:b w:val="0"/>
          <w:szCs w:val="24"/>
        </w:rPr>
        <w:t>Analysis of responses</w:t>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t>page 4</w:t>
      </w:r>
    </w:p>
    <w:p w:rsidR="00B1191D" w:rsidRDefault="00CD3D32">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Next s</w:t>
      </w:r>
      <w:r w:rsidR="00B1191D">
        <w:rPr>
          <w:rStyle w:val="Strong"/>
          <w:rFonts w:cs="Arial"/>
          <w:b w:val="0"/>
          <w:szCs w:val="24"/>
        </w:rPr>
        <w:t>teps</w:t>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432371">
        <w:rPr>
          <w:rStyle w:val="Strong"/>
          <w:rFonts w:cs="Arial"/>
          <w:b w:val="0"/>
          <w:szCs w:val="24"/>
        </w:rPr>
        <w:t>page 4</w:t>
      </w:r>
    </w:p>
    <w:p w:rsidR="00432371" w:rsidRDefault="00432371">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Annex A: Consultation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5</w:t>
      </w:r>
    </w:p>
    <w:p w:rsidR="00B1191D" w:rsidRPr="00B1191D" w:rsidRDefault="00B1191D">
      <w:pPr>
        <w:spacing w:after="200"/>
        <w:rPr>
          <w:rStyle w:val="Strong"/>
          <w:rFonts w:cs="Arial"/>
          <w:b w:val="0"/>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rsidP="00326BBC">
      <w:pPr>
        <w:spacing w:after="200"/>
        <w:rPr>
          <w:rStyle w:val="Strong"/>
          <w:rFonts w:cs="Arial"/>
          <w:szCs w:val="24"/>
        </w:rPr>
      </w:pPr>
      <w:r>
        <w:rPr>
          <w:rStyle w:val="Strong"/>
          <w:rFonts w:cs="Arial"/>
          <w:szCs w:val="24"/>
        </w:rPr>
        <w:br w:type="page"/>
      </w:r>
    </w:p>
    <w:p w:rsidR="005B7496" w:rsidRDefault="00677F21" w:rsidP="00326BBC">
      <w:pPr>
        <w:spacing w:after="200"/>
        <w:rPr>
          <w:rFonts w:cs="Arial"/>
          <w:b/>
          <w:szCs w:val="24"/>
        </w:rPr>
      </w:pPr>
      <w:r>
        <w:rPr>
          <w:rFonts w:cs="Arial"/>
          <w:b/>
          <w:szCs w:val="24"/>
        </w:rPr>
        <w:lastRenderedPageBreak/>
        <w:t xml:space="preserve">ANALYSIS OF RESPONSES TO THE CONSULTATION ON DRAFT REGULATIONS </w:t>
      </w:r>
      <w:r w:rsidR="00300574">
        <w:rPr>
          <w:rFonts w:cs="Arial"/>
          <w:b/>
          <w:szCs w:val="24"/>
        </w:rPr>
        <w:t>FOR</w:t>
      </w:r>
      <w:r w:rsidR="005B7496">
        <w:rPr>
          <w:rFonts w:cs="Arial"/>
          <w:b/>
          <w:szCs w:val="24"/>
        </w:rPr>
        <w:t>:</w:t>
      </w:r>
    </w:p>
    <w:p w:rsidR="00DF2ACF" w:rsidRDefault="00300574" w:rsidP="005B7496">
      <w:pPr>
        <w:pStyle w:val="ListParagraph"/>
        <w:numPr>
          <w:ilvl w:val="0"/>
          <w:numId w:val="15"/>
        </w:numPr>
        <w:rPr>
          <w:rFonts w:ascii="Arial" w:hAnsi="Arial" w:cs="Arial"/>
          <w:b/>
          <w:sz w:val="24"/>
          <w:szCs w:val="24"/>
        </w:rPr>
      </w:pPr>
      <w:r>
        <w:rPr>
          <w:rFonts w:ascii="Arial" w:hAnsi="Arial" w:cs="Arial"/>
          <w:b/>
          <w:sz w:val="24"/>
          <w:szCs w:val="24"/>
        </w:rPr>
        <w:t xml:space="preserve">THE TRANSFER OF FUNCTIONS AND MEMBERS OF </w:t>
      </w:r>
      <w:r w:rsidR="0096756C">
        <w:rPr>
          <w:rFonts w:ascii="Arial" w:hAnsi="Arial" w:cs="Arial"/>
          <w:b/>
          <w:sz w:val="24"/>
          <w:szCs w:val="24"/>
        </w:rPr>
        <w:t xml:space="preserve">THE </w:t>
      </w:r>
      <w:r w:rsidR="00DE4644">
        <w:rPr>
          <w:rFonts w:ascii="Arial" w:hAnsi="Arial" w:cs="Arial"/>
          <w:b/>
          <w:sz w:val="24"/>
          <w:szCs w:val="24"/>
        </w:rPr>
        <w:t>SCOTTISH CHARITY APPEALS PANEL</w:t>
      </w:r>
      <w:r w:rsidR="0096756C">
        <w:rPr>
          <w:rFonts w:ascii="Arial" w:hAnsi="Arial" w:cs="Arial"/>
          <w:b/>
          <w:sz w:val="24"/>
          <w:szCs w:val="24"/>
        </w:rPr>
        <w:t xml:space="preserve"> </w:t>
      </w:r>
      <w:r w:rsidR="00DF2ACF">
        <w:rPr>
          <w:rFonts w:ascii="Arial" w:hAnsi="Arial" w:cs="Arial"/>
          <w:b/>
          <w:sz w:val="24"/>
          <w:szCs w:val="24"/>
        </w:rPr>
        <w:t>TO THE SCOTTISH TRIBUNALS</w:t>
      </w:r>
      <w:r>
        <w:rPr>
          <w:rFonts w:ascii="Arial" w:hAnsi="Arial" w:cs="Arial"/>
          <w:b/>
          <w:sz w:val="24"/>
          <w:szCs w:val="24"/>
        </w:rPr>
        <w:t>,</w:t>
      </w:r>
      <w:r w:rsidR="00DF2ACF">
        <w:rPr>
          <w:rFonts w:ascii="Arial" w:hAnsi="Arial" w:cs="Arial"/>
          <w:b/>
          <w:sz w:val="24"/>
          <w:szCs w:val="24"/>
        </w:rPr>
        <w:t xml:space="preserve"> </w:t>
      </w:r>
    </w:p>
    <w:p w:rsidR="00023091" w:rsidRPr="005B7496" w:rsidRDefault="00DF2ACF" w:rsidP="005B7496">
      <w:pPr>
        <w:pStyle w:val="ListParagraph"/>
        <w:numPr>
          <w:ilvl w:val="0"/>
          <w:numId w:val="15"/>
        </w:numPr>
        <w:rPr>
          <w:rFonts w:ascii="Arial" w:hAnsi="Arial" w:cs="Arial"/>
          <w:b/>
          <w:sz w:val="24"/>
          <w:szCs w:val="24"/>
        </w:rPr>
      </w:pPr>
      <w:r>
        <w:rPr>
          <w:rFonts w:ascii="Arial" w:hAnsi="Arial" w:cs="Arial"/>
          <w:b/>
          <w:sz w:val="24"/>
          <w:szCs w:val="24"/>
        </w:rPr>
        <w:t xml:space="preserve">THE RULES OF PROCEDURE FOR THE FIRST-TIER TRIBUNAL FOR SCOTLAND </w:t>
      </w:r>
      <w:r w:rsidR="00DE4644">
        <w:rPr>
          <w:rFonts w:ascii="Arial" w:hAnsi="Arial" w:cs="Arial"/>
          <w:b/>
          <w:sz w:val="24"/>
          <w:szCs w:val="24"/>
        </w:rPr>
        <w:t xml:space="preserve">GENERAL REGULATORY </w:t>
      </w:r>
      <w:r w:rsidR="0096756C">
        <w:rPr>
          <w:rFonts w:ascii="Arial" w:hAnsi="Arial" w:cs="Arial"/>
          <w:b/>
          <w:sz w:val="24"/>
          <w:szCs w:val="24"/>
        </w:rPr>
        <w:t>CHAMBER</w:t>
      </w:r>
    </w:p>
    <w:p w:rsidR="00DF2ACF" w:rsidRDefault="00300574" w:rsidP="003B00FF">
      <w:pPr>
        <w:pStyle w:val="ListParagraph"/>
        <w:numPr>
          <w:ilvl w:val="0"/>
          <w:numId w:val="15"/>
        </w:numPr>
        <w:rPr>
          <w:rFonts w:ascii="Arial" w:hAnsi="Arial" w:cs="Arial"/>
          <w:b/>
          <w:bCs/>
          <w:sz w:val="24"/>
          <w:szCs w:val="24"/>
        </w:rPr>
      </w:pPr>
      <w:r>
        <w:rPr>
          <w:rFonts w:ascii="Arial" w:hAnsi="Arial" w:cs="Arial"/>
          <w:b/>
          <w:bCs/>
          <w:sz w:val="24"/>
          <w:szCs w:val="24"/>
        </w:rPr>
        <w:t xml:space="preserve">THE COMPOSITION OF THE SCOTTISH TRIBUNALS WHEN HEARING </w:t>
      </w:r>
      <w:r w:rsidR="00DE4644">
        <w:rPr>
          <w:rFonts w:ascii="Arial" w:hAnsi="Arial" w:cs="Arial"/>
          <w:b/>
          <w:bCs/>
          <w:sz w:val="24"/>
          <w:szCs w:val="24"/>
        </w:rPr>
        <w:t>CHARITY APPEALS</w:t>
      </w:r>
      <w:r w:rsidR="00B571D3">
        <w:rPr>
          <w:rFonts w:ascii="Arial" w:hAnsi="Arial" w:cs="Arial"/>
          <w:b/>
          <w:bCs/>
          <w:sz w:val="24"/>
          <w:szCs w:val="24"/>
        </w:rPr>
        <w:t xml:space="preserve"> IN AND FROM THE FIRST-TIER TRIBUNAL FOR SCOTLAND </w:t>
      </w:r>
      <w:r w:rsidR="00DE4644">
        <w:rPr>
          <w:rFonts w:ascii="Arial" w:hAnsi="Arial" w:cs="Arial"/>
          <w:b/>
          <w:bCs/>
          <w:sz w:val="24"/>
          <w:szCs w:val="24"/>
        </w:rPr>
        <w:t>GENERAL REGULATORY CHAMBER</w:t>
      </w:r>
    </w:p>
    <w:p w:rsidR="0096756C" w:rsidRPr="003B00FF" w:rsidRDefault="0096756C" w:rsidP="003B00FF">
      <w:pPr>
        <w:pStyle w:val="ListParagraph"/>
        <w:numPr>
          <w:ilvl w:val="0"/>
          <w:numId w:val="15"/>
        </w:numPr>
        <w:rPr>
          <w:rFonts w:ascii="Arial" w:hAnsi="Arial" w:cs="Arial"/>
          <w:b/>
          <w:bCs/>
          <w:sz w:val="24"/>
          <w:szCs w:val="24"/>
        </w:rPr>
      </w:pPr>
      <w:r>
        <w:rPr>
          <w:rFonts w:ascii="Arial" w:hAnsi="Arial" w:cs="Arial"/>
          <w:b/>
          <w:bCs/>
          <w:sz w:val="24"/>
          <w:szCs w:val="24"/>
        </w:rPr>
        <w:t xml:space="preserve">ELIGIBILITY CRITERIA FOR ORDINARY MEMBERS OF THE FIRST-TIER TRIBUNAL WITH </w:t>
      </w:r>
      <w:r w:rsidR="00DE4644">
        <w:rPr>
          <w:rFonts w:ascii="Arial" w:hAnsi="Arial" w:cs="Arial"/>
          <w:b/>
          <w:bCs/>
          <w:sz w:val="24"/>
          <w:szCs w:val="24"/>
        </w:rPr>
        <w:t>CHARITY REGULATORY</w:t>
      </w:r>
      <w:r>
        <w:rPr>
          <w:rFonts w:ascii="Arial" w:hAnsi="Arial" w:cs="Arial"/>
          <w:b/>
          <w:bCs/>
          <w:sz w:val="24"/>
          <w:szCs w:val="24"/>
        </w:rPr>
        <w:t xml:space="preserve"> EXPERIENCE</w:t>
      </w:r>
    </w:p>
    <w:p w:rsidR="00023091" w:rsidRPr="00454558" w:rsidRDefault="00023091" w:rsidP="00023091">
      <w:pPr>
        <w:rPr>
          <w:rFonts w:cs="Arial"/>
          <w:b/>
          <w:szCs w:val="24"/>
        </w:rPr>
      </w:pPr>
      <w:r w:rsidRPr="00454558">
        <w:rPr>
          <w:rFonts w:cs="Arial"/>
          <w:b/>
          <w:szCs w:val="24"/>
        </w:rPr>
        <w:t>Background</w:t>
      </w:r>
    </w:p>
    <w:p w:rsidR="00677F21" w:rsidRDefault="00677F21" w:rsidP="00677F21">
      <w:pPr>
        <w:pStyle w:val="ListParagraph"/>
        <w:numPr>
          <w:ilvl w:val="0"/>
          <w:numId w:val="12"/>
        </w:numPr>
        <w:rPr>
          <w:rFonts w:ascii="Arial" w:hAnsi="Arial" w:cs="Arial"/>
          <w:sz w:val="24"/>
          <w:szCs w:val="24"/>
        </w:rPr>
      </w:pPr>
      <w:r>
        <w:rPr>
          <w:rFonts w:ascii="Arial" w:hAnsi="Arial" w:cs="Arial"/>
          <w:sz w:val="24"/>
          <w:szCs w:val="24"/>
        </w:rPr>
        <w:t xml:space="preserve">The Scottish Government is in the process of implementing the Tribunals (Scotland) Act 2014 (the 2014 Act) which </w:t>
      </w:r>
      <w:r w:rsidR="00023091" w:rsidRPr="00677F21">
        <w:rPr>
          <w:rFonts w:ascii="Arial" w:hAnsi="Arial" w:cs="Arial"/>
          <w:sz w:val="24"/>
          <w:szCs w:val="24"/>
        </w:rPr>
        <w:t xml:space="preserve">creates a new, simplified statutory framework for tribunals in Scotland, bringing existing tribunal jurisdictions together and providing an organised structure for new jurisdictions. </w:t>
      </w:r>
    </w:p>
    <w:p w:rsidR="00677F21" w:rsidRDefault="00677F21" w:rsidP="00677F21">
      <w:pPr>
        <w:pStyle w:val="ListParagraph"/>
        <w:ind w:left="465"/>
        <w:rPr>
          <w:rFonts w:ascii="Arial" w:hAnsi="Arial" w:cs="Arial"/>
          <w:sz w:val="24"/>
          <w:szCs w:val="24"/>
        </w:rPr>
      </w:pPr>
    </w:p>
    <w:p w:rsidR="00DE4644" w:rsidRDefault="00023091" w:rsidP="00DE4644">
      <w:pPr>
        <w:pStyle w:val="ListParagraph"/>
        <w:numPr>
          <w:ilvl w:val="0"/>
          <w:numId w:val="12"/>
        </w:numPr>
        <w:rPr>
          <w:rFonts w:ascii="Arial" w:hAnsi="Arial" w:cs="Arial"/>
          <w:sz w:val="24"/>
          <w:szCs w:val="24"/>
        </w:rPr>
      </w:pPr>
      <w:r w:rsidRPr="00677F21">
        <w:rPr>
          <w:rFonts w:ascii="Arial" w:hAnsi="Arial" w:cs="Arial"/>
          <w:sz w:val="24"/>
          <w:szCs w:val="24"/>
        </w:rPr>
        <w:t xml:space="preserve">The </w:t>
      </w:r>
      <w:r w:rsidR="00677F21">
        <w:rPr>
          <w:rFonts w:ascii="Arial" w:hAnsi="Arial" w:cs="Arial"/>
          <w:sz w:val="24"/>
          <w:szCs w:val="24"/>
        </w:rPr>
        <w:t xml:space="preserve">2014 Act </w:t>
      </w:r>
      <w:r w:rsidRPr="00677F21">
        <w:rPr>
          <w:rFonts w:ascii="Arial" w:hAnsi="Arial" w:cs="Arial"/>
          <w:sz w:val="24"/>
          <w:szCs w:val="24"/>
        </w:rPr>
        <w:t>creates two tribunals, the First-tier Tribunal for Scotland</w:t>
      </w:r>
      <w:r w:rsidR="0056133A">
        <w:rPr>
          <w:rFonts w:ascii="Arial" w:hAnsi="Arial" w:cs="Arial"/>
          <w:sz w:val="24"/>
          <w:szCs w:val="24"/>
        </w:rPr>
        <w:t xml:space="preserve"> (First-tier Tribunal)</w:t>
      </w:r>
      <w:r w:rsidRPr="00677F21">
        <w:rPr>
          <w:rFonts w:ascii="Arial" w:hAnsi="Arial" w:cs="Arial"/>
          <w:sz w:val="24"/>
          <w:szCs w:val="24"/>
        </w:rPr>
        <w:t xml:space="preserve"> and the Upper Tribunal for Scotland</w:t>
      </w:r>
      <w:r w:rsidR="0056133A">
        <w:rPr>
          <w:rFonts w:ascii="Arial" w:hAnsi="Arial" w:cs="Arial"/>
          <w:sz w:val="24"/>
          <w:szCs w:val="24"/>
        </w:rPr>
        <w:t xml:space="preserve"> (Upper Tribunal)</w:t>
      </w:r>
      <w:r w:rsidRPr="00677F21">
        <w:rPr>
          <w:rFonts w:ascii="Arial" w:hAnsi="Arial" w:cs="Arial"/>
          <w:sz w:val="24"/>
          <w:szCs w:val="24"/>
        </w:rPr>
        <w:t>, known collectively as the Scottish Tribunals.</w:t>
      </w:r>
      <w:r w:rsidR="00677F21" w:rsidRPr="00677F21">
        <w:rPr>
          <w:rFonts w:ascii="Arial" w:hAnsi="Arial" w:cs="Arial"/>
          <w:sz w:val="24"/>
          <w:szCs w:val="24"/>
        </w:rPr>
        <w:t xml:space="preserve"> In due course all of the devolved tribunal jurisdictions will transfer</w:t>
      </w:r>
      <w:r w:rsidR="002E15A9">
        <w:rPr>
          <w:rFonts w:ascii="Arial" w:hAnsi="Arial" w:cs="Arial"/>
          <w:sz w:val="24"/>
          <w:szCs w:val="24"/>
        </w:rPr>
        <w:t>-</w:t>
      </w:r>
      <w:r w:rsidR="00677F21" w:rsidRPr="00677F21">
        <w:rPr>
          <w:rFonts w:ascii="Arial" w:hAnsi="Arial" w:cs="Arial"/>
          <w:sz w:val="24"/>
          <w:szCs w:val="24"/>
        </w:rPr>
        <w:t xml:space="preserve">in to the Scottish Tribunals. </w:t>
      </w:r>
      <w:r w:rsidR="00DF2ACF">
        <w:rPr>
          <w:rFonts w:ascii="Arial" w:hAnsi="Arial" w:cs="Arial"/>
          <w:sz w:val="24"/>
          <w:szCs w:val="24"/>
        </w:rPr>
        <w:t xml:space="preserve">The first tribunals </w:t>
      </w:r>
      <w:r w:rsidR="000F6C5E">
        <w:rPr>
          <w:rFonts w:ascii="Arial" w:hAnsi="Arial" w:cs="Arial"/>
          <w:sz w:val="24"/>
          <w:szCs w:val="24"/>
        </w:rPr>
        <w:t xml:space="preserve">(the private rented housing panel, the homeowner housing panel and their respective committees) </w:t>
      </w:r>
      <w:r w:rsidR="00DF2ACF">
        <w:rPr>
          <w:rFonts w:ascii="Arial" w:hAnsi="Arial" w:cs="Arial"/>
          <w:sz w:val="24"/>
          <w:szCs w:val="24"/>
        </w:rPr>
        <w:t xml:space="preserve">transferred into the Scottish Tribunals in December 2016. </w:t>
      </w:r>
      <w:r w:rsidR="0096756C" w:rsidRPr="00932013">
        <w:rPr>
          <w:rFonts w:ascii="Arial" w:hAnsi="Arial" w:cs="Arial"/>
          <w:sz w:val="24"/>
          <w:szCs w:val="24"/>
        </w:rPr>
        <w:t>The Scottish Tax Tribunals transfer</w:t>
      </w:r>
      <w:r w:rsidR="0096756C">
        <w:rPr>
          <w:rFonts w:ascii="Arial" w:hAnsi="Arial" w:cs="Arial"/>
          <w:sz w:val="24"/>
          <w:szCs w:val="24"/>
        </w:rPr>
        <w:t>red</w:t>
      </w:r>
      <w:r w:rsidR="0096756C" w:rsidRPr="00932013">
        <w:rPr>
          <w:rFonts w:ascii="Arial" w:hAnsi="Arial" w:cs="Arial"/>
          <w:sz w:val="24"/>
          <w:szCs w:val="24"/>
        </w:rPr>
        <w:t xml:space="preserve"> into the Scottish Tribunals in April 2017.</w:t>
      </w:r>
    </w:p>
    <w:p w:rsidR="00DE4644" w:rsidRDefault="00DE4644" w:rsidP="00DE4644">
      <w:pPr>
        <w:pStyle w:val="ListParagraph"/>
      </w:pPr>
    </w:p>
    <w:p w:rsidR="00DE4644" w:rsidRPr="00DE4644" w:rsidRDefault="00DE4644" w:rsidP="00DE4644">
      <w:pPr>
        <w:pStyle w:val="ListParagraph"/>
        <w:numPr>
          <w:ilvl w:val="0"/>
          <w:numId w:val="12"/>
        </w:numPr>
        <w:rPr>
          <w:rFonts w:ascii="Arial" w:hAnsi="Arial" w:cs="Arial"/>
          <w:sz w:val="28"/>
          <w:szCs w:val="24"/>
        </w:rPr>
      </w:pPr>
      <w:r w:rsidRPr="00DE4644">
        <w:rPr>
          <w:rFonts w:ascii="Arial" w:hAnsi="Arial" w:cs="Arial"/>
          <w:sz w:val="24"/>
        </w:rPr>
        <w:t>The Scottish Charity Appeals Panel (SCAP) was established by the Charities and Trustee Investment (Scotland) Act 2005 (the 2005 Act), in order to hear appeals against certain decisions of the Office of the Scottish Charity Regulator.</w:t>
      </w:r>
    </w:p>
    <w:p w:rsidR="00DE4644" w:rsidRPr="00DE4644" w:rsidRDefault="00DE4644" w:rsidP="00DE4644">
      <w:pPr>
        <w:pStyle w:val="ListParagraph"/>
        <w:ind w:left="465"/>
        <w:rPr>
          <w:rFonts w:ascii="Arial" w:hAnsi="Arial" w:cs="Arial"/>
          <w:sz w:val="24"/>
          <w:szCs w:val="24"/>
        </w:rPr>
      </w:pPr>
    </w:p>
    <w:p w:rsidR="003B00FF" w:rsidRDefault="00677F21" w:rsidP="003B00FF">
      <w:pPr>
        <w:pStyle w:val="ListParagraph"/>
        <w:numPr>
          <w:ilvl w:val="0"/>
          <w:numId w:val="12"/>
        </w:numPr>
        <w:rPr>
          <w:rFonts w:ascii="Arial" w:hAnsi="Arial" w:cs="Arial"/>
          <w:sz w:val="24"/>
          <w:szCs w:val="24"/>
        </w:rPr>
      </w:pPr>
      <w:r w:rsidRPr="00932013">
        <w:rPr>
          <w:rFonts w:ascii="Arial" w:hAnsi="Arial" w:cs="Arial"/>
          <w:sz w:val="24"/>
          <w:szCs w:val="24"/>
        </w:rPr>
        <w:t xml:space="preserve">The Scottish Government ran </w:t>
      </w:r>
      <w:r w:rsidR="005B7496" w:rsidRPr="00932013">
        <w:rPr>
          <w:rFonts w:ascii="Arial" w:hAnsi="Arial" w:cs="Arial"/>
          <w:sz w:val="24"/>
          <w:szCs w:val="24"/>
        </w:rPr>
        <w:t xml:space="preserve">a consultation between </w:t>
      </w:r>
      <w:r w:rsidR="0096756C">
        <w:rPr>
          <w:rFonts w:ascii="Arial" w:hAnsi="Arial" w:cs="Arial"/>
          <w:sz w:val="24"/>
          <w:szCs w:val="24"/>
        </w:rPr>
        <w:t>22 May</w:t>
      </w:r>
      <w:r w:rsidR="00DF2ACF" w:rsidRPr="00932013">
        <w:rPr>
          <w:rFonts w:ascii="Arial" w:hAnsi="Arial" w:cs="Arial"/>
          <w:sz w:val="24"/>
          <w:szCs w:val="24"/>
        </w:rPr>
        <w:t xml:space="preserve"> </w:t>
      </w:r>
      <w:r w:rsidRPr="00932013">
        <w:rPr>
          <w:rFonts w:ascii="Arial" w:hAnsi="Arial" w:cs="Arial"/>
          <w:sz w:val="24"/>
          <w:szCs w:val="24"/>
        </w:rPr>
        <w:t xml:space="preserve">and </w:t>
      </w:r>
      <w:r w:rsidR="0096756C">
        <w:rPr>
          <w:rFonts w:ascii="Arial" w:hAnsi="Arial" w:cs="Arial"/>
          <w:sz w:val="24"/>
          <w:szCs w:val="24"/>
        </w:rPr>
        <w:t>1 August 2017</w:t>
      </w:r>
      <w:r w:rsidR="005B7496" w:rsidRPr="00932013">
        <w:rPr>
          <w:rFonts w:ascii="Arial" w:hAnsi="Arial" w:cs="Arial"/>
          <w:sz w:val="24"/>
          <w:szCs w:val="24"/>
        </w:rPr>
        <w:t xml:space="preserve"> on</w:t>
      </w:r>
      <w:r w:rsidR="005C43DD">
        <w:rPr>
          <w:rFonts w:ascii="Arial" w:hAnsi="Arial" w:cs="Arial"/>
          <w:sz w:val="24"/>
          <w:szCs w:val="24"/>
        </w:rPr>
        <w:t xml:space="preserve"> the suite of draft regulations required to transfer the </w:t>
      </w:r>
      <w:r w:rsidR="00DE4644">
        <w:rPr>
          <w:rFonts w:ascii="Arial" w:hAnsi="Arial" w:cs="Arial"/>
          <w:sz w:val="24"/>
          <w:szCs w:val="24"/>
        </w:rPr>
        <w:t>SCAP</w:t>
      </w:r>
      <w:r w:rsidR="005C43DD">
        <w:rPr>
          <w:rFonts w:ascii="Arial" w:hAnsi="Arial" w:cs="Arial"/>
          <w:sz w:val="24"/>
          <w:szCs w:val="24"/>
        </w:rPr>
        <w:t xml:space="preserve"> into the Scottish Tribunals.</w:t>
      </w:r>
      <w:r w:rsidR="000F6C5E">
        <w:rPr>
          <w:rStyle w:val="FootnoteReference"/>
          <w:rFonts w:ascii="Arial" w:hAnsi="Arial" w:cs="Arial"/>
          <w:sz w:val="24"/>
          <w:szCs w:val="24"/>
        </w:rPr>
        <w:footnoteReference w:id="1"/>
      </w:r>
      <w:r w:rsidR="00DF2ACF" w:rsidRPr="00932013">
        <w:rPr>
          <w:rFonts w:ascii="Arial" w:hAnsi="Arial" w:cs="Arial"/>
          <w:sz w:val="24"/>
          <w:szCs w:val="24"/>
        </w:rPr>
        <w:t xml:space="preserve">. </w:t>
      </w:r>
    </w:p>
    <w:p w:rsidR="005C43DD" w:rsidRPr="005C43DD" w:rsidRDefault="005C43DD" w:rsidP="005C43DD">
      <w:pPr>
        <w:spacing w:after="200"/>
        <w:rPr>
          <w:rFonts w:eastAsiaTheme="minorHAnsi" w:cs="Arial"/>
          <w:szCs w:val="24"/>
        </w:rPr>
      </w:pPr>
      <w:r>
        <w:rPr>
          <w:rFonts w:cs="Arial"/>
          <w:szCs w:val="24"/>
        </w:rPr>
        <w:br w:type="page"/>
      </w:r>
    </w:p>
    <w:p w:rsidR="0056133A" w:rsidRDefault="0056133A" w:rsidP="0056133A">
      <w:pPr>
        <w:rPr>
          <w:rFonts w:cs="Arial"/>
          <w:b/>
          <w:szCs w:val="24"/>
        </w:rPr>
      </w:pPr>
      <w:r>
        <w:rPr>
          <w:rFonts w:cs="Arial"/>
          <w:b/>
          <w:szCs w:val="24"/>
        </w:rPr>
        <w:lastRenderedPageBreak/>
        <w:t>Consultation responses</w:t>
      </w:r>
    </w:p>
    <w:p w:rsidR="00300574" w:rsidRDefault="00DE4644" w:rsidP="005C43DD">
      <w:pPr>
        <w:pStyle w:val="ListParagraph"/>
        <w:numPr>
          <w:ilvl w:val="0"/>
          <w:numId w:val="12"/>
        </w:numPr>
        <w:rPr>
          <w:rFonts w:ascii="Arial" w:hAnsi="Arial" w:cs="Arial"/>
          <w:sz w:val="24"/>
          <w:szCs w:val="24"/>
        </w:rPr>
      </w:pPr>
      <w:r>
        <w:rPr>
          <w:rFonts w:ascii="Arial" w:hAnsi="Arial" w:cs="Arial"/>
          <w:sz w:val="24"/>
          <w:szCs w:val="24"/>
        </w:rPr>
        <w:t>We received a response from the Office of the Scottish Charity Regulator</w:t>
      </w:r>
      <w:r w:rsidR="00FB0041">
        <w:rPr>
          <w:rFonts w:ascii="Arial" w:hAnsi="Arial" w:cs="Arial"/>
          <w:sz w:val="24"/>
          <w:szCs w:val="24"/>
        </w:rPr>
        <w:t xml:space="preserve"> (</w:t>
      </w:r>
      <w:proofErr w:type="spellStart"/>
      <w:r w:rsidR="00FB0041">
        <w:rPr>
          <w:rFonts w:ascii="Arial" w:hAnsi="Arial" w:cs="Arial"/>
          <w:sz w:val="24"/>
          <w:szCs w:val="24"/>
        </w:rPr>
        <w:t>OSCR</w:t>
      </w:r>
      <w:proofErr w:type="spellEnd"/>
      <w:r w:rsidR="00FB0041">
        <w:rPr>
          <w:rFonts w:ascii="Arial" w:hAnsi="Arial" w:cs="Arial"/>
          <w:sz w:val="24"/>
          <w:szCs w:val="24"/>
        </w:rPr>
        <w:t>)</w:t>
      </w:r>
      <w:r>
        <w:rPr>
          <w:rFonts w:ascii="Arial" w:hAnsi="Arial" w:cs="Arial"/>
          <w:sz w:val="24"/>
          <w:szCs w:val="24"/>
        </w:rPr>
        <w:t xml:space="preserve"> and the Scottish Council for Voluntary Organisations. </w:t>
      </w:r>
    </w:p>
    <w:p w:rsidR="005C43DD" w:rsidRPr="005C43DD" w:rsidRDefault="005C43DD" w:rsidP="005C43DD">
      <w:pPr>
        <w:pStyle w:val="ListParagraph"/>
        <w:ind w:left="465"/>
        <w:rPr>
          <w:rFonts w:ascii="Arial" w:hAnsi="Arial" w:cs="Arial"/>
          <w:sz w:val="24"/>
          <w:szCs w:val="24"/>
        </w:rPr>
      </w:pPr>
    </w:p>
    <w:p w:rsidR="00326BBC" w:rsidRPr="00932013" w:rsidRDefault="00B52BDE" w:rsidP="00326BBC">
      <w:pPr>
        <w:pStyle w:val="ListParagraph"/>
        <w:numPr>
          <w:ilvl w:val="0"/>
          <w:numId w:val="12"/>
        </w:numPr>
        <w:rPr>
          <w:rFonts w:ascii="Arial" w:hAnsi="Arial" w:cs="Arial"/>
          <w:sz w:val="24"/>
          <w:szCs w:val="24"/>
        </w:rPr>
      </w:pPr>
      <w:r w:rsidRPr="000F5120">
        <w:rPr>
          <w:rFonts w:ascii="Arial" w:hAnsi="Arial" w:cs="Arial"/>
          <w:sz w:val="24"/>
          <w:szCs w:val="24"/>
        </w:rPr>
        <w:t xml:space="preserve">Due to the small number of responses this analysis relies on consideration of </w:t>
      </w:r>
      <w:r w:rsidR="000F6C5E">
        <w:rPr>
          <w:rFonts w:ascii="Arial" w:hAnsi="Arial" w:cs="Arial"/>
          <w:sz w:val="24"/>
          <w:szCs w:val="24"/>
        </w:rPr>
        <w:t xml:space="preserve">the key points raised in the </w:t>
      </w:r>
      <w:r w:rsidRPr="000F5120">
        <w:rPr>
          <w:rFonts w:ascii="Arial" w:hAnsi="Arial" w:cs="Arial"/>
          <w:sz w:val="24"/>
          <w:szCs w:val="24"/>
        </w:rPr>
        <w:t>response</w:t>
      </w:r>
      <w:r w:rsidR="009B0341">
        <w:rPr>
          <w:rFonts w:ascii="Arial" w:hAnsi="Arial" w:cs="Arial"/>
          <w:sz w:val="24"/>
          <w:szCs w:val="24"/>
        </w:rPr>
        <w:t>s relating to each set of regulations</w:t>
      </w:r>
      <w:r w:rsidR="00B927FE">
        <w:rPr>
          <w:rFonts w:ascii="Arial" w:hAnsi="Arial" w:cs="Arial"/>
          <w:sz w:val="24"/>
          <w:szCs w:val="24"/>
        </w:rPr>
        <w:t xml:space="preserve"> </w:t>
      </w:r>
      <w:r w:rsidRPr="000F5120">
        <w:rPr>
          <w:rFonts w:ascii="Arial" w:hAnsi="Arial" w:cs="Arial"/>
          <w:sz w:val="24"/>
          <w:szCs w:val="24"/>
        </w:rPr>
        <w:t>rather than an in</w:t>
      </w:r>
      <w:r w:rsidR="002E15A9">
        <w:rPr>
          <w:rFonts w:ascii="Arial" w:hAnsi="Arial" w:cs="Arial"/>
          <w:sz w:val="24"/>
          <w:szCs w:val="24"/>
        </w:rPr>
        <w:t>-</w:t>
      </w:r>
      <w:r w:rsidRPr="000F5120">
        <w:rPr>
          <w:rFonts w:ascii="Arial" w:hAnsi="Arial" w:cs="Arial"/>
          <w:sz w:val="24"/>
          <w:szCs w:val="24"/>
        </w:rPr>
        <w:t xml:space="preserve">depth statistical analysis of the responses. </w:t>
      </w:r>
    </w:p>
    <w:p w:rsidR="000F5120" w:rsidRDefault="000F5120" w:rsidP="000F5120">
      <w:pPr>
        <w:pStyle w:val="ListParagraph"/>
        <w:ind w:left="465"/>
        <w:rPr>
          <w:rFonts w:ascii="Arial" w:hAnsi="Arial" w:cs="Arial"/>
          <w:sz w:val="24"/>
          <w:szCs w:val="24"/>
        </w:rPr>
      </w:pPr>
    </w:p>
    <w:p w:rsidR="000F5120" w:rsidRPr="003B00FF" w:rsidRDefault="000F5120" w:rsidP="003B00FF">
      <w:pPr>
        <w:rPr>
          <w:rFonts w:cs="Arial"/>
          <w:b/>
          <w:szCs w:val="24"/>
        </w:rPr>
      </w:pPr>
      <w:r w:rsidRPr="003B00FF">
        <w:rPr>
          <w:rFonts w:cs="Arial"/>
          <w:b/>
          <w:szCs w:val="24"/>
        </w:rPr>
        <w:t xml:space="preserve">Analysis of responses </w:t>
      </w:r>
    </w:p>
    <w:p w:rsidR="00FB0041" w:rsidRDefault="00DE4644" w:rsidP="005C43DD">
      <w:pPr>
        <w:pStyle w:val="ListParagraph"/>
        <w:numPr>
          <w:ilvl w:val="0"/>
          <w:numId w:val="12"/>
        </w:numPr>
        <w:rPr>
          <w:rFonts w:ascii="Arial" w:hAnsi="Arial" w:cs="Arial"/>
          <w:sz w:val="24"/>
          <w:szCs w:val="24"/>
        </w:rPr>
      </w:pPr>
      <w:r>
        <w:rPr>
          <w:rFonts w:ascii="Arial" w:hAnsi="Arial" w:cs="Arial"/>
          <w:sz w:val="24"/>
          <w:szCs w:val="24"/>
        </w:rPr>
        <w:t xml:space="preserve">We received </w:t>
      </w:r>
      <w:r w:rsidR="00FB0041">
        <w:rPr>
          <w:rFonts w:ascii="Arial" w:hAnsi="Arial" w:cs="Arial"/>
          <w:sz w:val="24"/>
          <w:szCs w:val="24"/>
        </w:rPr>
        <w:t xml:space="preserve">responses in relation to each of the regulations and the main comments and the Scottish Government response are listed below. </w:t>
      </w:r>
    </w:p>
    <w:p w:rsidR="005C43DD" w:rsidRDefault="00FB0041" w:rsidP="00FB0041">
      <w:pPr>
        <w:rPr>
          <w:rFonts w:cs="Arial"/>
          <w:szCs w:val="24"/>
          <w:u w:val="single"/>
        </w:rPr>
      </w:pPr>
      <w:r>
        <w:rPr>
          <w:rFonts w:cs="Arial"/>
          <w:szCs w:val="24"/>
          <w:u w:val="single"/>
        </w:rPr>
        <w:t>Transfer of functions of SCAP</w:t>
      </w:r>
    </w:p>
    <w:p w:rsidR="00FB0041" w:rsidRPr="00FB0041" w:rsidRDefault="00FB0041" w:rsidP="00FB0041">
      <w:pPr>
        <w:rPr>
          <w:rFonts w:cs="Arial"/>
          <w:szCs w:val="24"/>
          <w:u w:val="single"/>
        </w:rPr>
      </w:pPr>
    </w:p>
    <w:p w:rsidR="00FB0041" w:rsidRPr="00FB0041" w:rsidRDefault="00FB0041" w:rsidP="00FB0041">
      <w:pPr>
        <w:pStyle w:val="ListParagraph"/>
        <w:numPr>
          <w:ilvl w:val="0"/>
          <w:numId w:val="12"/>
        </w:numPr>
        <w:rPr>
          <w:rFonts w:ascii="Arial" w:hAnsi="Arial" w:cs="Arial"/>
          <w:b/>
          <w:sz w:val="24"/>
          <w:szCs w:val="24"/>
          <w:u w:val="single"/>
        </w:rPr>
      </w:pPr>
      <w:r w:rsidRPr="00FB0041">
        <w:rPr>
          <w:rFonts w:ascii="Arial" w:hAnsi="Arial" w:cs="Arial"/>
          <w:sz w:val="24"/>
          <w:szCs w:val="24"/>
        </w:rPr>
        <w:t xml:space="preserve">By repealing the whole of section 78 of the Charities and Trustee Investment (Scotland) Act 2005 this is removing the right of an individual who has been suspended by </w:t>
      </w:r>
      <w:proofErr w:type="spellStart"/>
      <w:r w:rsidRPr="00FB0041">
        <w:rPr>
          <w:rFonts w:ascii="Arial" w:hAnsi="Arial" w:cs="Arial"/>
          <w:sz w:val="24"/>
          <w:szCs w:val="24"/>
        </w:rPr>
        <w:t>OSCR</w:t>
      </w:r>
      <w:proofErr w:type="spellEnd"/>
      <w:r w:rsidRPr="00FB0041">
        <w:rPr>
          <w:rFonts w:ascii="Arial" w:hAnsi="Arial" w:cs="Arial"/>
          <w:sz w:val="24"/>
          <w:szCs w:val="24"/>
        </w:rPr>
        <w:t xml:space="preserve"> under section 31(4) of that Act to appeal directly to the Court of Session. </w:t>
      </w:r>
    </w:p>
    <w:p w:rsidR="00FB0041" w:rsidRPr="00FB0041" w:rsidRDefault="00FB0041" w:rsidP="00FB0041">
      <w:pPr>
        <w:pStyle w:val="ListParagraph"/>
        <w:ind w:left="465"/>
        <w:rPr>
          <w:rFonts w:ascii="Arial" w:hAnsi="Arial" w:cs="Arial"/>
          <w:b/>
          <w:sz w:val="24"/>
          <w:szCs w:val="24"/>
          <w:u w:val="single"/>
        </w:rPr>
      </w:pPr>
    </w:p>
    <w:p w:rsidR="00FB0041" w:rsidRPr="00FB0041" w:rsidRDefault="00FB0041" w:rsidP="00FB0041">
      <w:pPr>
        <w:pStyle w:val="ListParagraph"/>
        <w:numPr>
          <w:ilvl w:val="0"/>
          <w:numId w:val="12"/>
        </w:numPr>
        <w:rPr>
          <w:rFonts w:ascii="Arial" w:hAnsi="Arial" w:cs="Arial"/>
          <w:b/>
          <w:sz w:val="24"/>
          <w:szCs w:val="24"/>
          <w:u w:val="single"/>
        </w:rPr>
      </w:pPr>
      <w:r w:rsidRPr="00FB0041">
        <w:rPr>
          <w:rFonts w:ascii="Arial" w:hAnsi="Arial" w:cs="Arial"/>
          <w:sz w:val="24"/>
          <w:szCs w:val="24"/>
        </w:rPr>
        <w:t xml:space="preserve">The transfer regulations have now been amended to only remove the right of appeal to decisions of the SCAP to the Court of Session. This has been removed as decisions of the First-tier Tribunal will be appealed to the Upper Tribunal and are covered by the Tribunals (Scotland) Act 2014. </w:t>
      </w:r>
    </w:p>
    <w:p w:rsidR="00FB0041" w:rsidRPr="00FB0041" w:rsidRDefault="00FB0041" w:rsidP="00FB0041">
      <w:pPr>
        <w:pStyle w:val="ListParagraph"/>
        <w:rPr>
          <w:rFonts w:ascii="Arial" w:hAnsi="Arial" w:cs="Arial"/>
          <w:b/>
          <w:sz w:val="24"/>
          <w:szCs w:val="24"/>
          <w:u w:val="single"/>
        </w:rPr>
      </w:pPr>
    </w:p>
    <w:p w:rsidR="00FB0041" w:rsidRDefault="00FB0041" w:rsidP="00FB0041">
      <w:pPr>
        <w:rPr>
          <w:rFonts w:cs="Arial"/>
          <w:szCs w:val="24"/>
          <w:u w:val="single"/>
        </w:rPr>
      </w:pPr>
      <w:r>
        <w:rPr>
          <w:rFonts w:cs="Arial"/>
          <w:szCs w:val="24"/>
          <w:u w:val="single"/>
        </w:rPr>
        <w:t>General Regulatory Chamber Rules of Procedure</w:t>
      </w:r>
    </w:p>
    <w:p w:rsidR="00FB0041" w:rsidRPr="00B30CEA" w:rsidRDefault="00FB0041" w:rsidP="00FB0041">
      <w:pPr>
        <w:rPr>
          <w:rFonts w:cs="Arial"/>
          <w:sz w:val="28"/>
          <w:szCs w:val="24"/>
          <w:u w:val="single"/>
        </w:rPr>
      </w:pPr>
    </w:p>
    <w:p w:rsidR="00FB0041" w:rsidRPr="00B30CEA" w:rsidRDefault="00FB0041" w:rsidP="00FB0041">
      <w:pPr>
        <w:pStyle w:val="ListParagraph"/>
        <w:numPr>
          <w:ilvl w:val="0"/>
          <w:numId w:val="12"/>
        </w:numPr>
        <w:rPr>
          <w:rFonts w:ascii="Arial" w:hAnsi="Arial" w:cs="Arial"/>
          <w:sz w:val="24"/>
          <w:szCs w:val="24"/>
        </w:rPr>
      </w:pPr>
      <w:r w:rsidRPr="00B30CEA">
        <w:rPr>
          <w:rFonts w:ascii="Arial" w:hAnsi="Arial" w:cs="Arial"/>
          <w:sz w:val="24"/>
          <w:szCs w:val="24"/>
        </w:rPr>
        <w:t xml:space="preserve">We have summarised the comments received about the General Regulatory Chamber Rules of Procedure and the Scottish Government response in the table below. </w:t>
      </w:r>
    </w:p>
    <w:tbl>
      <w:tblPr>
        <w:tblStyle w:val="TableGrid"/>
        <w:tblW w:w="9889" w:type="dxa"/>
        <w:tblLook w:val="04A0" w:firstRow="1" w:lastRow="0" w:firstColumn="1" w:lastColumn="0" w:noHBand="0" w:noVBand="1"/>
      </w:tblPr>
      <w:tblGrid>
        <w:gridCol w:w="5920"/>
        <w:gridCol w:w="3969"/>
      </w:tblGrid>
      <w:tr w:rsidR="00D640B9" w:rsidRPr="00D640B9" w:rsidTr="00D640B9">
        <w:trPr>
          <w:trHeight w:val="510"/>
        </w:trPr>
        <w:tc>
          <w:tcPr>
            <w:tcW w:w="5920" w:type="dxa"/>
            <w:hideMark/>
          </w:tcPr>
          <w:p w:rsidR="00D640B9" w:rsidRPr="00D640B9" w:rsidRDefault="00D640B9">
            <w:pPr>
              <w:rPr>
                <w:rFonts w:cs="Arial"/>
                <w:szCs w:val="24"/>
              </w:rPr>
            </w:pPr>
            <w:r w:rsidRPr="00D640B9">
              <w:rPr>
                <w:rFonts w:cs="Arial"/>
                <w:szCs w:val="24"/>
              </w:rPr>
              <w:t>Title of Rule 5 should be Confirmation of appeal BY the FTT not TO the FTT</w:t>
            </w:r>
          </w:p>
        </w:tc>
        <w:tc>
          <w:tcPr>
            <w:tcW w:w="3969" w:type="dxa"/>
            <w:hideMark/>
          </w:tcPr>
          <w:p w:rsidR="00D640B9" w:rsidRPr="00D640B9" w:rsidRDefault="00D640B9">
            <w:pPr>
              <w:rPr>
                <w:rFonts w:cs="Arial"/>
                <w:szCs w:val="24"/>
              </w:rPr>
            </w:pPr>
            <w:r w:rsidRPr="00D640B9">
              <w:rPr>
                <w:rFonts w:cs="Arial"/>
                <w:szCs w:val="24"/>
              </w:rPr>
              <w:t xml:space="preserve">Retained original as it is the process of confirmation of the appeal to the Tribunal. </w:t>
            </w:r>
          </w:p>
        </w:tc>
      </w:tr>
      <w:tr w:rsidR="00D640B9" w:rsidRPr="00D640B9" w:rsidTr="00D640B9">
        <w:trPr>
          <w:trHeight w:val="765"/>
        </w:trPr>
        <w:tc>
          <w:tcPr>
            <w:tcW w:w="5920" w:type="dxa"/>
            <w:hideMark/>
          </w:tcPr>
          <w:p w:rsidR="00D640B9" w:rsidRPr="00D640B9" w:rsidRDefault="00D640B9">
            <w:pPr>
              <w:rPr>
                <w:rFonts w:cs="Arial"/>
                <w:szCs w:val="24"/>
              </w:rPr>
            </w:pPr>
            <w:r w:rsidRPr="00D640B9">
              <w:rPr>
                <w:rFonts w:cs="Arial"/>
                <w:szCs w:val="24"/>
              </w:rPr>
              <w:t>Rule 7 (Withdrawal of Appeal) - final sentence stating that "where an appeal is withdrawn, no further appeal may be made in relation to the same decision" should be reinstated</w:t>
            </w:r>
          </w:p>
        </w:tc>
        <w:tc>
          <w:tcPr>
            <w:tcW w:w="3969" w:type="dxa"/>
            <w:hideMark/>
          </w:tcPr>
          <w:p w:rsidR="00D640B9" w:rsidRPr="00D640B9" w:rsidRDefault="00D640B9">
            <w:pPr>
              <w:rPr>
                <w:rFonts w:cs="Arial"/>
                <w:szCs w:val="24"/>
              </w:rPr>
            </w:pPr>
            <w:r w:rsidRPr="00D640B9">
              <w:rPr>
                <w:rFonts w:cs="Arial"/>
                <w:szCs w:val="24"/>
              </w:rPr>
              <w:t>Agreed - have reinstated</w:t>
            </w:r>
          </w:p>
        </w:tc>
      </w:tr>
      <w:tr w:rsidR="00D640B9" w:rsidRPr="00D640B9" w:rsidTr="00D640B9">
        <w:trPr>
          <w:trHeight w:val="1020"/>
        </w:trPr>
        <w:tc>
          <w:tcPr>
            <w:tcW w:w="5920" w:type="dxa"/>
            <w:hideMark/>
          </w:tcPr>
          <w:p w:rsidR="00D640B9" w:rsidRPr="00D640B9" w:rsidRDefault="00D640B9">
            <w:pPr>
              <w:rPr>
                <w:rFonts w:cs="Arial"/>
                <w:szCs w:val="24"/>
              </w:rPr>
            </w:pPr>
            <w:r w:rsidRPr="00D640B9">
              <w:rPr>
                <w:rFonts w:cs="Arial"/>
                <w:szCs w:val="24"/>
              </w:rPr>
              <w:t>Rule 9 (Evidence and Submissions) - not fully reflected in Rule 20 (Orders)</w:t>
            </w:r>
          </w:p>
        </w:tc>
        <w:tc>
          <w:tcPr>
            <w:tcW w:w="3969" w:type="dxa"/>
            <w:hideMark/>
          </w:tcPr>
          <w:p w:rsidR="00D640B9" w:rsidRPr="00D640B9" w:rsidRDefault="00D640B9" w:rsidP="00D640B9">
            <w:pPr>
              <w:rPr>
                <w:rFonts w:cs="Arial"/>
                <w:szCs w:val="24"/>
              </w:rPr>
            </w:pPr>
            <w:r>
              <w:rPr>
                <w:rFonts w:cs="Arial"/>
                <w:szCs w:val="24"/>
              </w:rPr>
              <w:t xml:space="preserve">We have separated these rules out and have ensured that there is no overlap. </w:t>
            </w:r>
          </w:p>
        </w:tc>
      </w:tr>
      <w:tr w:rsidR="00D640B9" w:rsidRPr="00D640B9" w:rsidTr="00D640B9">
        <w:trPr>
          <w:trHeight w:val="1020"/>
        </w:trPr>
        <w:tc>
          <w:tcPr>
            <w:tcW w:w="5920" w:type="dxa"/>
            <w:hideMark/>
          </w:tcPr>
          <w:p w:rsidR="00D640B9" w:rsidRPr="00D640B9" w:rsidRDefault="00D640B9">
            <w:pPr>
              <w:rPr>
                <w:rFonts w:cs="Arial"/>
                <w:szCs w:val="24"/>
              </w:rPr>
            </w:pPr>
            <w:r w:rsidRPr="00D640B9">
              <w:rPr>
                <w:rFonts w:cs="Arial"/>
                <w:szCs w:val="24"/>
              </w:rPr>
              <w:lastRenderedPageBreak/>
              <w:t>Rule 14 (Absence of member of the FTT) - doesn't reflect rule 24 (Decisions of the FTT)</w:t>
            </w:r>
          </w:p>
        </w:tc>
        <w:tc>
          <w:tcPr>
            <w:tcW w:w="3969" w:type="dxa"/>
            <w:hideMark/>
          </w:tcPr>
          <w:p w:rsidR="00D640B9" w:rsidRPr="00D640B9" w:rsidRDefault="00D640B9">
            <w:pPr>
              <w:rPr>
                <w:rFonts w:cs="Arial"/>
                <w:szCs w:val="24"/>
              </w:rPr>
            </w:pPr>
            <w:r>
              <w:rPr>
                <w:rFonts w:cs="Arial"/>
                <w:szCs w:val="24"/>
              </w:rPr>
              <w:t>Have replaced text with</w:t>
            </w:r>
            <w:r w:rsidRPr="00D640B9">
              <w:rPr>
                <w:rFonts w:cs="Arial"/>
                <w:szCs w:val="24"/>
              </w:rPr>
              <w:t xml:space="preserve"> "the appeal may, with the consent of the parties, be heard by the other two members and, in that event, th</w:t>
            </w:r>
            <w:r>
              <w:rPr>
                <w:rFonts w:cs="Arial"/>
                <w:szCs w:val="24"/>
              </w:rPr>
              <w:t>e FTT shall be deemed</w:t>
            </w:r>
            <w:r w:rsidRPr="00D640B9">
              <w:rPr>
                <w:rFonts w:cs="Arial"/>
                <w:szCs w:val="24"/>
              </w:rPr>
              <w:t xml:space="preserve"> to be properly constituted."</w:t>
            </w:r>
          </w:p>
        </w:tc>
      </w:tr>
      <w:tr w:rsidR="00D640B9" w:rsidRPr="00D640B9" w:rsidTr="00D640B9">
        <w:trPr>
          <w:trHeight w:val="1035"/>
        </w:trPr>
        <w:tc>
          <w:tcPr>
            <w:tcW w:w="5920" w:type="dxa"/>
            <w:hideMark/>
          </w:tcPr>
          <w:p w:rsidR="00D640B9" w:rsidRPr="00D640B9" w:rsidRDefault="00D640B9">
            <w:pPr>
              <w:rPr>
                <w:rFonts w:cs="Arial"/>
                <w:szCs w:val="24"/>
              </w:rPr>
            </w:pPr>
            <w:r w:rsidRPr="00D640B9">
              <w:rPr>
                <w:rFonts w:cs="Arial"/>
                <w:szCs w:val="24"/>
              </w:rPr>
              <w:t>Rule 24 (Decisions of the FTT) reference to when the tribunal is constituted of two members does not fit with the composition regulations.</w:t>
            </w:r>
          </w:p>
        </w:tc>
        <w:tc>
          <w:tcPr>
            <w:tcW w:w="3969" w:type="dxa"/>
            <w:hideMark/>
          </w:tcPr>
          <w:p w:rsidR="00D640B9" w:rsidRPr="00D640B9" w:rsidRDefault="00D640B9">
            <w:pPr>
              <w:rPr>
                <w:rFonts w:cs="Arial"/>
                <w:szCs w:val="24"/>
              </w:rPr>
            </w:pPr>
            <w:r>
              <w:rPr>
                <w:rFonts w:cs="Arial"/>
                <w:szCs w:val="24"/>
              </w:rPr>
              <w:t>We have clarified this in the composition regulations</w:t>
            </w:r>
            <w:r w:rsidRPr="00D640B9">
              <w:rPr>
                <w:rFonts w:cs="Arial"/>
                <w:szCs w:val="24"/>
              </w:rPr>
              <w:t xml:space="preserve"> </w:t>
            </w:r>
          </w:p>
        </w:tc>
      </w:tr>
      <w:tr w:rsidR="00D640B9" w:rsidRPr="00D640B9" w:rsidTr="00D640B9">
        <w:trPr>
          <w:trHeight w:val="3570"/>
        </w:trPr>
        <w:tc>
          <w:tcPr>
            <w:tcW w:w="5920" w:type="dxa"/>
            <w:hideMark/>
          </w:tcPr>
          <w:p w:rsidR="00D640B9" w:rsidRPr="00D640B9" w:rsidRDefault="00D640B9">
            <w:pPr>
              <w:rPr>
                <w:rFonts w:cs="Arial"/>
                <w:szCs w:val="24"/>
              </w:rPr>
            </w:pPr>
            <w:r w:rsidRPr="00D640B9">
              <w:rPr>
                <w:rFonts w:cs="Arial"/>
                <w:szCs w:val="24"/>
              </w:rPr>
              <w:t xml:space="preserve">Rule 31 (Review) - what is nature of review, can we specify grounds of review. The use of the term review could lead to confusion as the 2005 Act allows </w:t>
            </w:r>
            <w:proofErr w:type="spellStart"/>
            <w:r w:rsidRPr="00D640B9">
              <w:rPr>
                <w:rFonts w:cs="Arial"/>
                <w:szCs w:val="24"/>
              </w:rPr>
              <w:t>OSCR's</w:t>
            </w:r>
            <w:proofErr w:type="spellEnd"/>
            <w:r w:rsidRPr="00D640B9">
              <w:rPr>
                <w:rFonts w:cs="Arial"/>
                <w:szCs w:val="24"/>
              </w:rPr>
              <w:t xml:space="preserve"> decision to be reviewed. Concern that the review would be undertaken by the same members as conducted the original case. </w:t>
            </w:r>
          </w:p>
        </w:tc>
        <w:tc>
          <w:tcPr>
            <w:tcW w:w="3969" w:type="dxa"/>
            <w:hideMark/>
          </w:tcPr>
          <w:p w:rsidR="00D640B9" w:rsidRPr="00D640B9" w:rsidRDefault="00D640B9" w:rsidP="00046CF4">
            <w:pPr>
              <w:rPr>
                <w:rFonts w:cs="Arial"/>
                <w:szCs w:val="24"/>
              </w:rPr>
            </w:pPr>
            <w:r w:rsidRPr="00D640B9">
              <w:rPr>
                <w:rFonts w:cs="Arial"/>
                <w:szCs w:val="24"/>
              </w:rPr>
              <w:t>The rule says that it refers to an application for a review under section 43(2)(b) of the 2014 Act which differentiates it from the review provision mentioned in the 2005 Act. This is a generic provisio</w:t>
            </w:r>
            <w:r>
              <w:rPr>
                <w:rFonts w:cs="Arial"/>
                <w:szCs w:val="24"/>
              </w:rPr>
              <w:t xml:space="preserve">n across the Scottish Tribunals. </w:t>
            </w:r>
            <w:r w:rsidRPr="00D640B9">
              <w:rPr>
                <w:rFonts w:cs="Arial"/>
                <w:szCs w:val="24"/>
              </w:rPr>
              <w:t xml:space="preserve">We have sought to keep the review process tight and allow the flexibility for the tribunal to refuse reviews if they are </w:t>
            </w:r>
            <w:proofErr w:type="spellStart"/>
            <w:r w:rsidRPr="00D640B9">
              <w:rPr>
                <w:rFonts w:cs="Arial"/>
                <w:szCs w:val="24"/>
              </w:rPr>
              <w:t>frivalous</w:t>
            </w:r>
            <w:proofErr w:type="spellEnd"/>
            <w:r w:rsidRPr="00D640B9">
              <w:rPr>
                <w:rFonts w:cs="Arial"/>
                <w:szCs w:val="24"/>
              </w:rPr>
              <w:t xml:space="preserve">/ without merit. The reason for having the same members is that they have an understanding of the case - however, there is flexibility for someone else to deal with a review. If there is to be a </w:t>
            </w:r>
            <w:proofErr w:type="spellStart"/>
            <w:r w:rsidRPr="00D640B9">
              <w:rPr>
                <w:rFonts w:cs="Arial"/>
                <w:szCs w:val="24"/>
              </w:rPr>
              <w:t>wholsale</w:t>
            </w:r>
            <w:proofErr w:type="spellEnd"/>
            <w:r w:rsidRPr="00D640B9">
              <w:rPr>
                <w:rFonts w:cs="Arial"/>
                <w:szCs w:val="24"/>
              </w:rPr>
              <w:t xml:space="preserve"> reconsideration of a case then this would be done by the appeal process. </w:t>
            </w:r>
          </w:p>
        </w:tc>
      </w:tr>
    </w:tbl>
    <w:p w:rsidR="00FB0041" w:rsidRPr="00FB0041" w:rsidRDefault="00FB0041" w:rsidP="00FB0041">
      <w:pPr>
        <w:rPr>
          <w:rFonts w:cs="Arial"/>
          <w:szCs w:val="24"/>
        </w:rPr>
      </w:pPr>
    </w:p>
    <w:p w:rsidR="00D640B9" w:rsidRDefault="00D640B9" w:rsidP="00D640B9">
      <w:pPr>
        <w:rPr>
          <w:rFonts w:cs="Arial"/>
          <w:szCs w:val="24"/>
        </w:rPr>
      </w:pPr>
    </w:p>
    <w:tbl>
      <w:tblPr>
        <w:tblStyle w:val="TableGrid"/>
        <w:tblW w:w="0" w:type="auto"/>
        <w:tblLook w:val="04A0" w:firstRow="1" w:lastRow="0" w:firstColumn="1" w:lastColumn="0" w:noHBand="0" w:noVBand="1"/>
      </w:tblPr>
      <w:tblGrid>
        <w:gridCol w:w="2800"/>
        <w:gridCol w:w="3235"/>
        <w:gridCol w:w="3207"/>
      </w:tblGrid>
      <w:tr w:rsidR="00D640B9" w:rsidRPr="00D640B9" w:rsidTr="006D15D5">
        <w:trPr>
          <w:trHeight w:val="1020"/>
        </w:trPr>
        <w:tc>
          <w:tcPr>
            <w:tcW w:w="2800" w:type="dxa"/>
            <w:noWrap/>
            <w:hideMark/>
          </w:tcPr>
          <w:p w:rsidR="00D640B9" w:rsidRPr="00D640B9" w:rsidRDefault="00D640B9" w:rsidP="006D15D5">
            <w:pPr>
              <w:rPr>
                <w:rFonts w:cs="Arial"/>
                <w:szCs w:val="24"/>
              </w:rPr>
            </w:pPr>
            <w:r w:rsidRPr="00D640B9">
              <w:rPr>
                <w:rFonts w:cs="Arial"/>
                <w:szCs w:val="24"/>
              </w:rPr>
              <w:t xml:space="preserve">Eligibility for Appointment </w:t>
            </w:r>
          </w:p>
        </w:tc>
        <w:tc>
          <w:tcPr>
            <w:tcW w:w="6820" w:type="dxa"/>
            <w:hideMark/>
          </w:tcPr>
          <w:p w:rsidR="00D640B9" w:rsidRPr="00D640B9" w:rsidRDefault="00D640B9" w:rsidP="006D15D5">
            <w:pPr>
              <w:rPr>
                <w:rFonts w:cs="Arial"/>
                <w:szCs w:val="24"/>
              </w:rPr>
            </w:pPr>
            <w:r w:rsidRPr="00D640B9">
              <w:rPr>
                <w:rFonts w:cs="Arial"/>
                <w:szCs w:val="24"/>
              </w:rPr>
              <w:t>Eligibility criteria should be rephrased to say a person must have "knowledge and experience in accounting or governance of the charity sector and its operation in Scotland"</w:t>
            </w:r>
          </w:p>
        </w:tc>
        <w:tc>
          <w:tcPr>
            <w:tcW w:w="6880" w:type="dxa"/>
            <w:hideMark/>
          </w:tcPr>
          <w:p w:rsidR="00D640B9" w:rsidRPr="00D640B9" w:rsidRDefault="00D640B9" w:rsidP="006D15D5">
            <w:pPr>
              <w:rPr>
                <w:rFonts w:cs="Arial"/>
                <w:szCs w:val="24"/>
              </w:rPr>
            </w:pPr>
            <w:r w:rsidRPr="00D640B9">
              <w:rPr>
                <w:rFonts w:cs="Arial"/>
                <w:szCs w:val="24"/>
              </w:rPr>
              <w:t xml:space="preserve">Seeking confirmation from Charity Law Policy team but our initial view is to retain existing definition as the proposal is quite restrictive and may exclude a couple of existing SCAP members from transferring into the Scottish Tribunals. </w:t>
            </w:r>
          </w:p>
        </w:tc>
      </w:tr>
      <w:tr w:rsidR="00D640B9" w:rsidRPr="00D640B9" w:rsidTr="006D15D5">
        <w:trPr>
          <w:trHeight w:val="510"/>
        </w:trPr>
        <w:tc>
          <w:tcPr>
            <w:tcW w:w="2800" w:type="dxa"/>
            <w:noWrap/>
            <w:hideMark/>
          </w:tcPr>
          <w:p w:rsidR="00D640B9" w:rsidRPr="00D640B9" w:rsidRDefault="00D640B9" w:rsidP="006D15D5">
            <w:pPr>
              <w:rPr>
                <w:rFonts w:cs="Arial"/>
                <w:szCs w:val="24"/>
              </w:rPr>
            </w:pPr>
            <w:r w:rsidRPr="00D640B9">
              <w:rPr>
                <w:rFonts w:cs="Arial"/>
                <w:szCs w:val="24"/>
              </w:rPr>
              <w:t>Composition</w:t>
            </w:r>
          </w:p>
        </w:tc>
        <w:tc>
          <w:tcPr>
            <w:tcW w:w="6820" w:type="dxa"/>
            <w:hideMark/>
          </w:tcPr>
          <w:p w:rsidR="00D640B9" w:rsidRPr="00D640B9" w:rsidRDefault="00D640B9" w:rsidP="006D15D5">
            <w:pPr>
              <w:rPr>
                <w:rFonts w:cs="Arial"/>
                <w:szCs w:val="24"/>
              </w:rPr>
            </w:pPr>
            <w:r w:rsidRPr="00D640B9">
              <w:rPr>
                <w:rFonts w:cs="Arial"/>
                <w:szCs w:val="24"/>
              </w:rPr>
              <w:t xml:space="preserve">Requirement that the FTT must consist of three members goes against rules where a panel member may be absent. </w:t>
            </w:r>
          </w:p>
        </w:tc>
        <w:tc>
          <w:tcPr>
            <w:tcW w:w="6880" w:type="dxa"/>
            <w:hideMark/>
          </w:tcPr>
          <w:p w:rsidR="00D640B9" w:rsidRPr="00D640B9" w:rsidRDefault="00D640B9" w:rsidP="006D15D5">
            <w:pPr>
              <w:rPr>
                <w:rFonts w:cs="Arial"/>
                <w:szCs w:val="24"/>
              </w:rPr>
            </w:pPr>
            <w:r w:rsidRPr="00D640B9">
              <w:rPr>
                <w:rFonts w:cs="Arial"/>
                <w:szCs w:val="24"/>
              </w:rPr>
              <w:t xml:space="preserve">Will seek advice on this and will amend as necessary. </w:t>
            </w:r>
          </w:p>
        </w:tc>
      </w:tr>
    </w:tbl>
    <w:p w:rsidR="00D640B9" w:rsidRDefault="00D640B9" w:rsidP="00D640B9">
      <w:pPr>
        <w:rPr>
          <w:rFonts w:cs="Arial"/>
          <w:szCs w:val="24"/>
        </w:rPr>
      </w:pPr>
    </w:p>
    <w:p w:rsidR="00D640B9" w:rsidRPr="00B30CEA" w:rsidRDefault="003504A7" w:rsidP="00D640B9">
      <w:pPr>
        <w:rPr>
          <w:rFonts w:cs="Arial"/>
          <w:szCs w:val="24"/>
          <w:u w:val="single"/>
        </w:rPr>
      </w:pPr>
      <w:r w:rsidRPr="00B30CEA">
        <w:rPr>
          <w:rFonts w:cs="Arial"/>
          <w:szCs w:val="24"/>
          <w:u w:val="single"/>
        </w:rPr>
        <w:lastRenderedPageBreak/>
        <w:t>Composition of the First-tier Tribunal General Regulatory Chamber and Upper Tribunal</w:t>
      </w:r>
    </w:p>
    <w:p w:rsidR="003504A7" w:rsidRPr="00B30CEA" w:rsidRDefault="003504A7" w:rsidP="00D640B9">
      <w:pPr>
        <w:rPr>
          <w:rFonts w:cs="Arial"/>
          <w:szCs w:val="24"/>
          <w:u w:val="single"/>
        </w:rPr>
      </w:pPr>
    </w:p>
    <w:p w:rsidR="003504A7" w:rsidRPr="00B30CEA" w:rsidRDefault="003504A7" w:rsidP="003504A7">
      <w:pPr>
        <w:pStyle w:val="ListParagraph"/>
        <w:numPr>
          <w:ilvl w:val="0"/>
          <w:numId w:val="12"/>
        </w:numPr>
        <w:rPr>
          <w:rFonts w:ascii="Arial" w:hAnsi="Arial" w:cs="Arial"/>
          <w:sz w:val="24"/>
          <w:szCs w:val="24"/>
        </w:rPr>
      </w:pPr>
      <w:r w:rsidRPr="00B30CEA">
        <w:rPr>
          <w:rFonts w:ascii="Arial" w:hAnsi="Arial" w:cs="Arial"/>
          <w:sz w:val="24"/>
          <w:szCs w:val="24"/>
        </w:rPr>
        <w:t xml:space="preserve">The concern was raised that the requirement that the First-tier Tribunal must consist of three members goes against rules where a panel member may be absent. We have clarified that the provisions in the composition regulations do not go against the rule which specifies a hearing may go ahead with two panel members (at least one of them being a legal member). </w:t>
      </w:r>
    </w:p>
    <w:p w:rsidR="003504A7" w:rsidRPr="00B30CEA" w:rsidRDefault="003504A7" w:rsidP="003504A7">
      <w:pPr>
        <w:rPr>
          <w:rFonts w:cs="Arial"/>
          <w:szCs w:val="24"/>
          <w:u w:val="single"/>
        </w:rPr>
      </w:pPr>
      <w:r w:rsidRPr="00B30CEA">
        <w:rPr>
          <w:rFonts w:cs="Arial"/>
          <w:szCs w:val="24"/>
          <w:u w:val="single"/>
        </w:rPr>
        <w:t xml:space="preserve">Eligibility for membership of First-tier Tribunal as ordinary member with Charity Regulatory Experience </w:t>
      </w:r>
    </w:p>
    <w:p w:rsidR="003504A7" w:rsidRPr="00B30CEA" w:rsidRDefault="003504A7" w:rsidP="003504A7">
      <w:pPr>
        <w:rPr>
          <w:rFonts w:cs="Arial"/>
          <w:szCs w:val="24"/>
          <w:u w:val="single"/>
        </w:rPr>
      </w:pPr>
    </w:p>
    <w:p w:rsidR="003504A7" w:rsidRPr="00B30CEA" w:rsidRDefault="003504A7" w:rsidP="003504A7">
      <w:pPr>
        <w:pStyle w:val="ListParagraph"/>
        <w:numPr>
          <w:ilvl w:val="0"/>
          <w:numId w:val="12"/>
        </w:numPr>
        <w:rPr>
          <w:rFonts w:ascii="Arial" w:hAnsi="Arial" w:cs="Arial"/>
          <w:sz w:val="24"/>
          <w:szCs w:val="24"/>
        </w:rPr>
      </w:pPr>
      <w:r w:rsidRPr="00B30CEA">
        <w:rPr>
          <w:rFonts w:ascii="Arial" w:hAnsi="Arial" w:cs="Arial"/>
          <w:sz w:val="24"/>
          <w:szCs w:val="24"/>
        </w:rPr>
        <w:t xml:space="preserve"> Three comments were raised in relation to these regulations. Firstly, if an ordinary member is eligible if they have experience of law then this could lead to the tribunal being overly dominated by lawyers. Secondly, the eligibility criteria does not include experience of charities. Finally, the experience shou</w:t>
      </w:r>
      <w:r w:rsidR="00871501" w:rsidRPr="00B30CEA">
        <w:rPr>
          <w:rFonts w:ascii="Arial" w:hAnsi="Arial" w:cs="Arial"/>
          <w:sz w:val="24"/>
          <w:szCs w:val="24"/>
        </w:rPr>
        <w:t xml:space="preserve">ld be Scots based. </w:t>
      </w:r>
    </w:p>
    <w:p w:rsidR="00871501" w:rsidRPr="00B30CEA" w:rsidRDefault="00871501" w:rsidP="00871501">
      <w:pPr>
        <w:pStyle w:val="ListParagraph"/>
        <w:ind w:left="465"/>
        <w:rPr>
          <w:rFonts w:ascii="Arial" w:hAnsi="Arial" w:cs="Arial"/>
          <w:sz w:val="24"/>
          <w:szCs w:val="24"/>
        </w:rPr>
      </w:pPr>
    </w:p>
    <w:p w:rsidR="00871501" w:rsidRPr="00B30CEA" w:rsidRDefault="00871501" w:rsidP="00871501">
      <w:pPr>
        <w:pStyle w:val="ListParagraph"/>
        <w:numPr>
          <w:ilvl w:val="0"/>
          <w:numId w:val="12"/>
        </w:numPr>
        <w:rPr>
          <w:rFonts w:ascii="Arial" w:hAnsi="Arial" w:cs="Arial"/>
          <w:sz w:val="24"/>
          <w:szCs w:val="24"/>
        </w:rPr>
      </w:pPr>
      <w:r w:rsidRPr="00B30CEA">
        <w:rPr>
          <w:rFonts w:ascii="Arial" w:hAnsi="Arial" w:cs="Arial"/>
          <w:sz w:val="24"/>
          <w:szCs w:val="24"/>
        </w:rPr>
        <w:t xml:space="preserve">We have taken the first two comments on board and have revised the criteria to remove reference to experience of charity law </w:t>
      </w:r>
      <w:r w:rsidR="00B30CEA" w:rsidRPr="00B30CEA">
        <w:rPr>
          <w:rFonts w:ascii="Arial" w:hAnsi="Arial" w:cs="Arial"/>
          <w:sz w:val="24"/>
          <w:szCs w:val="24"/>
        </w:rPr>
        <w:t xml:space="preserve">and have added in experience of accounting or governance of charities as well as public and private bodies. We have not specified that experience must be based in Scotland as we feel this would be over restrictive and could exclude good candidates if a recruitment for these members were to be undertaken.  </w:t>
      </w:r>
    </w:p>
    <w:p w:rsidR="003504A7" w:rsidRPr="00D640B9" w:rsidRDefault="003504A7" w:rsidP="00D640B9">
      <w:pPr>
        <w:rPr>
          <w:rFonts w:cs="Arial"/>
          <w:szCs w:val="24"/>
        </w:rPr>
      </w:pPr>
    </w:p>
    <w:p w:rsidR="001123CC" w:rsidRDefault="007E6F7F" w:rsidP="001123CC">
      <w:pPr>
        <w:rPr>
          <w:rFonts w:cs="Arial"/>
          <w:b/>
          <w:szCs w:val="24"/>
        </w:rPr>
      </w:pPr>
      <w:r>
        <w:rPr>
          <w:rFonts w:cs="Arial"/>
          <w:b/>
          <w:szCs w:val="24"/>
        </w:rPr>
        <w:t xml:space="preserve">Next Steps </w:t>
      </w:r>
    </w:p>
    <w:p w:rsidR="007E6F7F" w:rsidRDefault="007E6F7F" w:rsidP="001123CC">
      <w:pPr>
        <w:rPr>
          <w:rFonts w:cs="Arial"/>
          <w:b/>
          <w:szCs w:val="24"/>
        </w:rPr>
      </w:pPr>
    </w:p>
    <w:p w:rsidR="00ED507A" w:rsidRDefault="007E6F7F" w:rsidP="00AA086F">
      <w:pPr>
        <w:pStyle w:val="ListParagraph"/>
        <w:numPr>
          <w:ilvl w:val="0"/>
          <w:numId w:val="12"/>
        </w:numPr>
        <w:rPr>
          <w:rFonts w:ascii="Arial" w:hAnsi="Arial" w:cs="Arial"/>
          <w:sz w:val="24"/>
          <w:szCs w:val="24"/>
        </w:rPr>
      </w:pPr>
      <w:r w:rsidRPr="007E6F7F">
        <w:rPr>
          <w:rFonts w:ascii="Arial" w:hAnsi="Arial" w:cs="Arial"/>
          <w:sz w:val="24"/>
          <w:szCs w:val="24"/>
        </w:rPr>
        <w:t xml:space="preserve">The draft regulations have been amended </w:t>
      </w:r>
      <w:r w:rsidR="00E51D35">
        <w:rPr>
          <w:rFonts w:ascii="Arial" w:hAnsi="Arial" w:cs="Arial"/>
          <w:sz w:val="24"/>
          <w:szCs w:val="24"/>
        </w:rPr>
        <w:t>as considered appropriate, in light of</w:t>
      </w:r>
      <w:r w:rsidRPr="007E6F7F">
        <w:rPr>
          <w:rFonts w:ascii="Arial" w:hAnsi="Arial" w:cs="Arial"/>
          <w:sz w:val="24"/>
          <w:szCs w:val="24"/>
        </w:rPr>
        <w:t xml:space="preserve"> </w:t>
      </w:r>
      <w:r w:rsidR="00223C4A" w:rsidRPr="007E6F7F">
        <w:rPr>
          <w:rFonts w:ascii="Arial" w:hAnsi="Arial" w:cs="Arial"/>
          <w:sz w:val="24"/>
          <w:szCs w:val="24"/>
        </w:rPr>
        <w:t>respondents’</w:t>
      </w:r>
      <w:r w:rsidR="00AA086F">
        <w:rPr>
          <w:rFonts w:ascii="Arial" w:hAnsi="Arial" w:cs="Arial"/>
          <w:sz w:val="24"/>
          <w:szCs w:val="24"/>
        </w:rPr>
        <w:t xml:space="preserve"> comments. </w:t>
      </w:r>
      <w:r w:rsidR="00ED507A">
        <w:rPr>
          <w:rFonts w:ascii="Arial" w:hAnsi="Arial" w:cs="Arial"/>
          <w:sz w:val="24"/>
          <w:szCs w:val="24"/>
        </w:rPr>
        <w:t xml:space="preserve">The regulations setting out the eligibility criteria for ordinary members of the First-tier Tribunal with health and education experience were laid in the Scottish Parliament on 4 September 2017 and came into force on 2 October 2017. This was to allow the Judicial Appointments Board for Scotland to undertake a recruitment exercise for ordinary and legal members of the First-tier Tribunal assigned to the Health and Education Chamber. </w:t>
      </w:r>
    </w:p>
    <w:p w:rsidR="00ED507A" w:rsidRDefault="00ED507A" w:rsidP="00ED507A">
      <w:pPr>
        <w:pStyle w:val="ListParagraph"/>
        <w:ind w:left="465"/>
        <w:rPr>
          <w:rFonts w:ascii="Arial" w:hAnsi="Arial" w:cs="Arial"/>
          <w:sz w:val="24"/>
          <w:szCs w:val="24"/>
        </w:rPr>
      </w:pPr>
    </w:p>
    <w:p w:rsidR="007E6F7F" w:rsidRDefault="00ED507A" w:rsidP="00AA086F">
      <w:pPr>
        <w:pStyle w:val="ListParagraph"/>
        <w:numPr>
          <w:ilvl w:val="0"/>
          <w:numId w:val="12"/>
        </w:numPr>
        <w:rPr>
          <w:rFonts w:ascii="Arial" w:hAnsi="Arial" w:cs="Arial"/>
          <w:sz w:val="24"/>
          <w:szCs w:val="24"/>
        </w:rPr>
      </w:pPr>
      <w:r>
        <w:rPr>
          <w:rFonts w:ascii="Arial" w:hAnsi="Arial" w:cs="Arial"/>
          <w:sz w:val="24"/>
          <w:szCs w:val="24"/>
        </w:rPr>
        <w:t xml:space="preserve">The remaining regulations were laid in the Scottish Parliament on 30 October 2017 and are due to come into force on 12 January 2018. </w:t>
      </w:r>
    </w:p>
    <w:p w:rsidR="00ED507A" w:rsidRDefault="00ED507A" w:rsidP="00ED507A">
      <w:pPr>
        <w:rPr>
          <w:rFonts w:cs="Arial"/>
          <w:szCs w:val="24"/>
        </w:rPr>
      </w:pPr>
    </w:p>
    <w:p w:rsidR="00D640B9" w:rsidRDefault="00D640B9" w:rsidP="00ED507A">
      <w:pPr>
        <w:rPr>
          <w:rFonts w:cs="Arial"/>
          <w:szCs w:val="24"/>
        </w:rPr>
      </w:pPr>
    </w:p>
    <w:p w:rsidR="00D640B9" w:rsidRDefault="00D640B9" w:rsidP="00ED507A">
      <w:pPr>
        <w:rPr>
          <w:rFonts w:cs="Arial"/>
          <w:szCs w:val="24"/>
        </w:rPr>
      </w:pPr>
    </w:p>
    <w:sectPr w:rsidR="00D640B9" w:rsidSect="00350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1E6" w:rsidRDefault="002F11E6" w:rsidP="00295E65">
      <w:pPr>
        <w:spacing w:after="0" w:line="240" w:lineRule="auto"/>
      </w:pPr>
      <w:r>
        <w:separator/>
      </w:r>
    </w:p>
  </w:endnote>
  <w:endnote w:type="continuationSeparator" w:id="0">
    <w:p w:rsidR="002F11E6" w:rsidRDefault="002F11E6" w:rsidP="0029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1E6" w:rsidRDefault="002F11E6" w:rsidP="00295E65">
      <w:pPr>
        <w:spacing w:after="0" w:line="240" w:lineRule="auto"/>
      </w:pPr>
      <w:r>
        <w:separator/>
      </w:r>
    </w:p>
  </w:footnote>
  <w:footnote w:type="continuationSeparator" w:id="0">
    <w:p w:rsidR="002F11E6" w:rsidRDefault="002F11E6" w:rsidP="00295E65">
      <w:pPr>
        <w:spacing w:after="0" w:line="240" w:lineRule="auto"/>
      </w:pPr>
      <w:r>
        <w:continuationSeparator/>
      </w:r>
    </w:p>
  </w:footnote>
  <w:footnote w:id="1">
    <w:p w:rsidR="000F6C5E" w:rsidRDefault="000F6C5E">
      <w:pPr>
        <w:pStyle w:val="FootnoteText"/>
      </w:pPr>
      <w:r>
        <w:rPr>
          <w:rStyle w:val="FootnoteReference"/>
        </w:rPr>
        <w:footnoteRef/>
      </w:r>
      <w:r>
        <w:t xml:space="preserve"> </w:t>
      </w:r>
      <w:hyperlink r:id="rId1" w:history="1">
        <w:r w:rsidRPr="008A79DF">
          <w:rPr>
            <w:rStyle w:val="Hyperlink"/>
          </w:rPr>
          <w:t>https://consult.scotland.gov.uk/tribunals-administrative-justice-policy/tribunals-scotland-act-2014-draft-regulations/</w:t>
        </w:r>
      </w:hyperlink>
    </w:p>
    <w:p w:rsidR="000F6C5E" w:rsidRDefault="000F6C5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12ABF54"/>
    <w:lvl w:ilvl="0">
      <w:start w:val="1"/>
      <w:numFmt w:val="decimal"/>
      <w:lvlText w:val="%1."/>
      <w:legacy w:legacy="1" w:legacySpace="288" w:legacyIndent="720"/>
      <w:lvlJc w:val="left"/>
      <w:pPr>
        <w:ind w:left="0" w:firstLine="425"/>
      </w:pPr>
    </w:lvl>
    <w:lvl w:ilvl="1">
      <w:start w:val="1"/>
      <w:numFmt w:val="decimal"/>
      <w:lvlText w:val="%1.%2"/>
      <w:legacy w:legacy="1" w:legacySpace="284" w:legacyIndent="720"/>
      <w:lvlJc w:val="left"/>
      <w:pPr>
        <w:ind w:left="0" w:firstLine="425"/>
      </w:pPr>
    </w:lvl>
    <w:lvl w:ilvl="2">
      <w:start w:val="1"/>
      <w:numFmt w:val="decimal"/>
      <w:pStyle w:val="Heading3"/>
      <w:lvlText w:val="%1.%2.%3"/>
      <w:legacy w:legacy="1" w:legacySpace="284" w:legacyIndent="720"/>
      <w:lvlJc w:val="left"/>
      <w:pPr>
        <w:ind w:left="0" w:firstLine="425"/>
      </w:pPr>
    </w:lvl>
    <w:lvl w:ilvl="3">
      <w:start w:val="1"/>
      <w:numFmt w:val="decimal"/>
      <w:lvlText w:val="%1.%2.%3.%4"/>
      <w:legacy w:legacy="1" w:legacySpace="144" w:legacyIndent="0"/>
      <w:lvlJc w:val="left"/>
      <w:pPr>
        <w:ind w:left="0" w:firstLine="425"/>
      </w:pPr>
    </w:lvl>
    <w:lvl w:ilvl="4">
      <w:start w:val="1"/>
      <w:numFmt w:val="decimal"/>
      <w:lvlText w:val="%1.%2.%3.%4.%5"/>
      <w:legacy w:legacy="1" w:legacySpace="144" w:legacyIndent="0"/>
      <w:lvlJc w:val="left"/>
      <w:pPr>
        <w:ind w:left="0" w:firstLine="425"/>
      </w:pPr>
    </w:lvl>
    <w:lvl w:ilvl="5">
      <w:start w:val="1"/>
      <w:numFmt w:val="decimal"/>
      <w:lvlText w:val="%1.%2.%3.%4.%5.%6"/>
      <w:legacy w:legacy="1" w:legacySpace="144" w:legacyIndent="0"/>
      <w:lvlJc w:val="left"/>
      <w:pPr>
        <w:ind w:left="0" w:firstLine="425"/>
      </w:pPr>
    </w:lvl>
    <w:lvl w:ilvl="6">
      <w:start w:val="1"/>
      <w:numFmt w:val="decimal"/>
      <w:lvlText w:val="%1.%2.%3.%4.%5.%6.%7"/>
      <w:legacy w:legacy="1" w:legacySpace="144" w:legacyIndent="0"/>
      <w:lvlJc w:val="left"/>
      <w:pPr>
        <w:ind w:left="0" w:firstLine="425"/>
      </w:pPr>
    </w:lvl>
    <w:lvl w:ilvl="7">
      <w:start w:val="1"/>
      <w:numFmt w:val="decimal"/>
      <w:lvlText w:val="%1.%2.%3.%4.%5.%6.%7.%8"/>
      <w:legacy w:legacy="1" w:legacySpace="144" w:legacyIndent="0"/>
      <w:lvlJc w:val="left"/>
      <w:pPr>
        <w:ind w:left="0" w:firstLine="425"/>
      </w:pPr>
    </w:lvl>
    <w:lvl w:ilvl="8">
      <w:start w:val="1"/>
      <w:numFmt w:val="decimal"/>
      <w:lvlText w:val="%1.%2.%3.%4.%5.%6.%7.%8.%9"/>
      <w:legacy w:legacy="1" w:legacySpace="144" w:legacyIndent="0"/>
      <w:lvlJc w:val="left"/>
      <w:pPr>
        <w:ind w:left="0" w:firstLine="425"/>
      </w:pPr>
    </w:lvl>
  </w:abstractNum>
  <w:abstractNum w:abstractNumId="1">
    <w:nsid w:val="05192D69"/>
    <w:multiLevelType w:val="hybridMultilevel"/>
    <w:tmpl w:val="67C0899A"/>
    <w:lvl w:ilvl="0" w:tplc="4ED81E50">
      <w:start w:val="1"/>
      <w:numFmt w:val="decimal"/>
      <w:lvlText w:val="(%1)"/>
      <w:lvlJc w:val="left"/>
      <w:pPr>
        <w:ind w:left="1122" w:hanging="765"/>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nsid w:val="0BAD252C"/>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3DB5FB8"/>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963149B"/>
    <w:multiLevelType w:val="hybridMultilevel"/>
    <w:tmpl w:val="2B109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47F73"/>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E2C271A"/>
    <w:multiLevelType w:val="hybridMultilevel"/>
    <w:tmpl w:val="59267442"/>
    <w:lvl w:ilvl="0" w:tplc="A57C37A4">
      <w:start w:val="1"/>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8325C0"/>
    <w:multiLevelType w:val="hybridMultilevel"/>
    <w:tmpl w:val="C8C25DC4"/>
    <w:lvl w:ilvl="0" w:tplc="2BC2F4B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9B07218"/>
    <w:multiLevelType w:val="hybridMultilevel"/>
    <w:tmpl w:val="F0F45972"/>
    <w:lvl w:ilvl="0" w:tplc="CFBACB28">
      <w:start w:val="1"/>
      <w:numFmt w:val="decimal"/>
      <w:lvlText w:val="%1."/>
      <w:lvlJc w:val="left"/>
      <w:pPr>
        <w:ind w:left="465" w:hanging="465"/>
      </w:pPr>
      <w:rPr>
        <w:rFonts w:ascii="Arial" w:hAnsi="Arial" w:cs="Arial" w:hint="default"/>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04F7549"/>
    <w:multiLevelType w:val="hybridMultilevel"/>
    <w:tmpl w:val="770ED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E947243"/>
    <w:multiLevelType w:val="hybridMultilevel"/>
    <w:tmpl w:val="92903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3316A1"/>
    <w:multiLevelType w:val="hybridMultilevel"/>
    <w:tmpl w:val="A2FC072A"/>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531" w:hanging="360"/>
      </w:pPr>
    </w:lvl>
    <w:lvl w:ilvl="2" w:tplc="0809001B" w:tentative="1">
      <w:start w:val="1"/>
      <w:numFmt w:val="lowerRoman"/>
      <w:lvlText w:val="%3."/>
      <w:lvlJc w:val="right"/>
      <w:pPr>
        <w:ind w:left="3251" w:hanging="180"/>
      </w:pPr>
    </w:lvl>
    <w:lvl w:ilvl="3" w:tplc="0809000F" w:tentative="1">
      <w:start w:val="1"/>
      <w:numFmt w:val="decimal"/>
      <w:lvlText w:val="%4."/>
      <w:lvlJc w:val="left"/>
      <w:pPr>
        <w:ind w:left="3971" w:hanging="360"/>
      </w:pPr>
    </w:lvl>
    <w:lvl w:ilvl="4" w:tplc="08090019" w:tentative="1">
      <w:start w:val="1"/>
      <w:numFmt w:val="lowerLetter"/>
      <w:lvlText w:val="%5."/>
      <w:lvlJc w:val="left"/>
      <w:pPr>
        <w:ind w:left="4691" w:hanging="360"/>
      </w:pPr>
    </w:lvl>
    <w:lvl w:ilvl="5" w:tplc="0809001B" w:tentative="1">
      <w:start w:val="1"/>
      <w:numFmt w:val="lowerRoman"/>
      <w:lvlText w:val="%6."/>
      <w:lvlJc w:val="right"/>
      <w:pPr>
        <w:ind w:left="5411" w:hanging="180"/>
      </w:pPr>
    </w:lvl>
    <w:lvl w:ilvl="6" w:tplc="0809000F" w:tentative="1">
      <w:start w:val="1"/>
      <w:numFmt w:val="decimal"/>
      <w:lvlText w:val="%7."/>
      <w:lvlJc w:val="left"/>
      <w:pPr>
        <w:ind w:left="6131" w:hanging="360"/>
      </w:pPr>
    </w:lvl>
    <w:lvl w:ilvl="7" w:tplc="08090019" w:tentative="1">
      <w:start w:val="1"/>
      <w:numFmt w:val="lowerLetter"/>
      <w:lvlText w:val="%8."/>
      <w:lvlJc w:val="left"/>
      <w:pPr>
        <w:ind w:left="6851" w:hanging="360"/>
      </w:pPr>
    </w:lvl>
    <w:lvl w:ilvl="8" w:tplc="0809001B" w:tentative="1">
      <w:start w:val="1"/>
      <w:numFmt w:val="lowerRoman"/>
      <w:lvlText w:val="%9."/>
      <w:lvlJc w:val="right"/>
      <w:pPr>
        <w:ind w:left="7571" w:hanging="180"/>
      </w:pPr>
    </w:lvl>
  </w:abstractNum>
  <w:abstractNum w:abstractNumId="12">
    <w:nsid w:val="4A240591"/>
    <w:multiLevelType w:val="hybridMultilevel"/>
    <w:tmpl w:val="7AC07E8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5940EF9"/>
    <w:multiLevelType w:val="hybridMultilevel"/>
    <w:tmpl w:val="FB767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12"/>
  </w:num>
  <w:num w:numId="6">
    <w:abstractNumId w:val="11"/>
  </w:num>
  <w:num w:numId="7">
    <w:abstractNumId w:val="6"/>
  </w:num>
  <w:num w:numId="8">
    <w:abstractNumId w:val="10"/>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14"/>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33"/>
    <w:rsid w:val="00001454"/>
    <w:rsid w:val="00002AFE"/>
    <w:rsid w:val="00014C33"/>
    <w:rsid w:val="00014E74"/>
    <w:rsid w:val="00015932"/>
    <w:rsid w:val="00023091"/>
    <w:rsid w:val="00027BD0"/>
    <w:rsid w:val="00045A85"/>
    <w:rsid w:val="00046CF4"/>
    <w:rsid w:val="000728EA"/>
    <w:rsid w:val="00074F14"/>
    <w:rsid w:val="00094DCB"/>
    <w:rsid w:val="00094EF6"/>
    <w:rsid w:val="000B76CD"/>
    <w:rsid w:val="000C03A6"/>
    <w:rsid w:val="000C4A76"/>
    <w:rsid w:val="000D155C"/>
    <w:rsid w:val="000D300D"/>
    <w:rsid w:val="000D4A7C"/>
    <w:rsid w:val="000E22F6"/>
    <w:rsid w:val="000E3BD3"/>
    <w:rsid w:val="000F0933"/>
    <w:rsid w:val="000F3053"/>
    <w:rsid w:val="000F5120"/>
    <w:rsid w:val="000F60BA"/>
    <w:rsid w:val="000F6C5E"/>
    <w:rsid w:val="001123CC"/>
    <w:rsid w:val="001134DF"/>
    <w:rsid w:val="00113A1A"/>
    <w:rsid w:val="00167003"/>
    <w:rsid w:val="00174D9A"/>
    <w:rsid w:val="00181ADD"/>
    <w:rsid w:val="00190265"/>
    <w:rsid w:val="001A5421"/>
    <w:rsid w:val="001D08DE"/>
    <w:rsid w:val="001D2BCD"/>
    <w:rsid w:val="001F73D8"/>
    <w:rsid w:val="002037DD"/>
    <w:rsid w:val="002077A9"/>
    <w:rsid w:val="00220DFF"/>
    <w:rsid w:val="00223C4A"/>
    <w:rsid w:val="002536F9"/>
    <w:rsid w:val="00261F3B"/>
    <w:rsid w:val="00271243"/>
    <w:rsid w:val="00282F05"/>
    <w:rsid w:val="00295E65"/>
    <w:rsid w:val="002B2C89"/>
    <w:rsid w:val="002E15A9"/>
    <w:rsid w:val="002E7412"/>
    <w:rsid w:val="002F11E6"/>
    <w:rsid w:val="002F459A"/>
    <w:rsid w:val="002F7BA1"/>
    <w:rsid w:val="00300574"/>
    <w:rsid w:val="00326BBC"/>
    <w:rsid w:val="0033362A"/>
    <w:rsid w:val="003410A8"/>
    <w:rsid w:val="00345204"/>
    <w:rsid w:val="003504A7"/>
    <w:rsid w:val="00352BE9"/>
    <w:rsid w:val="00396C57"/>
    <w:rsid w:val="003A6C8F"/>
    <w:rsid w:val="003B00FF"/>
    <w:rsid w:val="003B5D4D"/>
    <w:rsid w:val="003E141D"/>
    <w:rsid w:val="003E5B5B"/>
    <w:rsid w:val="003E69CF"/>
    <w:rsid w:val="003F5CF0"/>
    <w:rsid w:val="0041453E"/>
    <w:rsid w:val="00416EDC"/>
    <w:rsid w:val="00420A5D"/>
    <w:rsid w:val="00432371"/>
    <w:rsid w:val="004332FC"/>
    <w:rsid w:val="00444D63"/>
    <w:rsid w:val="00445603"/>
    <w:rsid w:val="00456883"/>
    <w:rsid w:val="00475B98"/>
    <w:rsid w:val="0048653E"/>
    <w:rsid w:val="004930AE"/>
    <w:rsid w:val="004930BC"/>
    <w:rsid w:val="004954E4"/>
    <w:rsid w:val="004A68FE"/>
    <w:rsid w:val="004E6BA1"/>
    <w:rsid w:val="005564AD"/>
    <w:rsid w:val="00560394"/>
    <w:rsid w:val="00560759"/>
    <w:rsid w:val="0056133A"/>
    <w:rsid w:val="0056350C"/>
    <w:rsid w:val="005B1B55"/>
    <w:rsid w:val="005B7496"/>
    <w:rsid w:val="005C0682"/>
    <w:rsid w:val="005C43DD"/>
    <w:rsid w:val="005E127E"/>
    <w:rsid w:val="005F0E5C"/>
    <w:rsid w:val="005F6A2D"/>
    <w:rsid w:val="00610559"/>
    <w:rsid w:val="00616D03"/>
    <w:rsid w:val="00631FCD"/>
    <w:rsid w:val="006344FB"/>
    <w:rsid w:val="00652530"/>
    <w:rsid w:val="00666A2B"/>
    <w:rsid w:val="00677F21"/>
    <w:rsid w:val="00695242"/>
    <w:rsid w:val="006A7BBE"/>
    <w:rsid w:val="006F19F7"/>
    <w:rsid w:val="006F3AFF"/>
    <w:rsid w:val="00716B0F"/>
    <w:rsid w:val="00720412"/>
    <w:rsid w:val="0075046E"/>
    <w:rsid w:val="0075524C"/>
    <w:rsid w:val="00770BBE"/>
    <w:rsid w:val="007764E0"/>
    <w:rsid w:val="0078260A"/>
    <w:rsid w:val="007964ED"/>
    <w:rsid w:val="007A4A66"/>
    <w:rsid w:val="007B013A"/>
    <w:rsid w:val="007B4B22"/>
    <w:rsid w:val="007B7D3A"/>
    <w:rsid w:val="007D1D6A"/>
    <w:rsid w:val="007D278F"/>
    <w:rsid w:val="007E6F7F"/>
    <w:rsid w:val="00831BC5"/>
    <w:rsid w:val="008341D7"/>
    <w:rsid w:val="00836E5B"/>
    <w:rsid w:val="00862BA9"/>
    <w:rsid w:val="00864EBE"/>
    <w:rsid w:val="00871501"/>
    <w:rsid w:val="008A0A2B"/>
    <w:rsid w:val="008A1D84"/>
    <w:rsid w:val="008B4E43"/>
    <w:rsid w:val="008B6970"/>
    <w:rsid w:val="008C536F"/>
    <w:rsid w:val="0091342D"/>
    <w:rsid w:val="0092328A"/>
    <w:rsid w:val="00932013"/>
    <w:rsid w:val="00954B21"/>
    <w:rsid w:val="00955519"/>
    <w:rsid w:val="0096756C"/>
    <w:rsid w:val="00971544"/>
    <w:rsid w:val="009905DC"/>
    <w:rsid w:val="009A397F"/>
    <w:rsid w:val="009A6AEA"/>
    <w:rsid w:val="009B0341"/>
    <w:rsid w:val="009B1EAC"/>
    <w:rsid w:val="009B3CCB"/>
    <w:rsid w:val="009D1BF4"/>
    <w:rsid w:val="00A004AE"/>
    <w:rsid w:val="00A026AA"/>
    <w:rsid w:val="00A06462"/>
    <w:rsid w:val="00A33D95"/>
    <w:rsid w:val="00A43B78"/>
    <w:rsid w:val="00A4527E"/>
    <w:rsid w:val="00A646C5"/>
    <w:rsid w:val="00A722C0"/>
    <w:rsid w:val="00A870D4"/>
    <w:rsid w:val="00AA086F"/>
    <w:rsid w:val="00AA4D32"/>
    <w:rsid w:val="00AB46A9"/>
    <w:rsid w:val="00AC5D69"/>
    <w:rsid w:val="00AD3876"/>
    <w:rsid w:val="00AD6F34"/>
    <w:rsid w:val="00AF2341"/>
    <w:rsid w:val="00AF5A46"/>
    <w:rsid w:val="00B1191D"/>
    <w:rsid w:val="00B21011"/>
    <w:rsid w:val="00B30CEA"/>
    <w:rsid w:val="00B45EA9"/>
    <w:rsid w:val="00B52BDE"/>
    <w:rsid w:val="00B5509E"/>
    <w:rsid w:val="00B571D3"/>
    <w:rsid w:val="00B67BD6"/>
    <w:rsid w:val="00B75861"/>
    <w:rsid w:val="00B772B9"/>
    <w:rsid w:val="00B927FE"/>
    <w:rsid w:val="00BD02AC"/>
    <w:rsid w:val="00BD38E3"/>
    <w:rsid w:val="00BD5B7A"/>
    <w:rsid w:val="00BE7C1F"/>
    <w:rsid w:val="00BF4CE2"/>
    <w:rsid w:val="00C14F42"/>
    <w:rsid w:val="00C55574"/>
    <w:rsid w:val="00C633D4"/>
    <w:rsid w:val="00C775EA"/>
    <w:rsid w:val="00C9184A"/>
    <w:rsid w:val="00CD03B5"/>
    <w:rsid w:val="00CD3D32"/>
    <w:rsid w:val="00CD52B0"/>
    <w:rsid w:val="00CD5E4C"/>
    <w:rsid w:val="00CF2462"/>
    <w:rsid w:val="00D21FE3"/>
    <w:rsid w:val="00D27C5D"/>
    <w:rsid w:val="00D514A0"/>
    <w:rsid w:val="00D640B9"/>
    <w:rsid w:val="00D651F9"/>
    <w:rsid w:val="00D74118"/>
    <w:rsid w:val="00D930D6"/>
    <w:rsid w:val="00DA62F7"/>
    <w:rsid w:val="00DA63D5"/>
    <w:rsid w:val="00DC20B6"/>
    <w:rsid w:val="00DE3297"/>
    <w:rsid w:val="00DE4644"/>
    <w:rsid w:val="00DF2ACF"/>
    <w:rsid w:val="00E0631B"/>
    <w:rsid w:val="00E13ABA"/>
    <w:rsid w:val="00E332D8"/>
    <w:rsid w:val="00E51D35"/>
    <w:rsid w:val="00E6030A"/>
    <w:rsid w:val="00E6192E"/>
    <w:rsid w:val="00E72533"/>
    <w:rsid w:val="00EC4C6B"/>
    <w:rsid w:val="00EC62D0"/>
    <w:rsid w:val="00ED3BC1"/>
    <w:rsid w:val="00ED507A"/>
    <w:rsid w:val="00EE25A9"/>
    <w:rsid w:val="00EE2818"/>
    <w:rsid w:val="00EF23E1"/>
    <w:rsid w:val="00F14485"/>
    <w:rsid w:val="00F16AB3"/>
    <w:rsid w:val="00F2119B"/>
    <w:rsid w:val="00F2385D"/>
    <w:rsid w:val="00F24FF5"/>
    <w:rsid w:val="00F4015A"/>
    <w:rsid w:val="00F51390"/>
    <w:rsid w:val="00F56566"/>
    <w:rsid w:val="00F76C88"/>
    <w:rsid w:val="00F907B9"/>
    <w:rsid w:val="00F94218"/>
    <w:rsid w:val="00FB0041"/>
    <w:rsid w:val="00FB3464"/>
    <w:rsid w:val="00FC5E20"/>
    <w:rsid w:val="00FC5E3A"/>
    <w:rsid w:val="00FE53FF"/>
    <w:rsid w:val="00FF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695242"/>
    <w:rPr>
      <w:sz w:val="16"/>
      <w:szCs w:val="16"/>
    </w:rPr>
  </w:style>
  <w:style w:type="paragraph" w:styleId="CommentText">
    <w:name w:val="annotation text"/>
    <w:basedOn w:val="Normal"/>
    <w:link w:val="CommentTextChar"/>
    <w:uiPriority w:val="99"/>
    <w:semiHidden/>
    <w:unhideWhenUsed/>
    <w:rsid w:val="00695242"/>
    <w:pPr>
      <w:spacing w:line="240" w:lineRule="auto"/>
    </w:pPr>
    <w:rPr>
      <w:sz w:val="20"/>
    </w:rPr>
  </w:style>
  <w:style w:type="character" w:customStyle="1" w:styleId="CommentTextChar">
    <w:name w:val="Comment Text Char"/>
    <w:basedOn w:val="DefaultParagraphFont"/>
    <w:link w:val="CommentText"/>
    <w:uiPriority w:val="99"/>
    <w:semiHidden/>
    <w:rsid w:val="00695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5242"/>
    <w:rPr>
      <w:b/>
      <w:bCs/>
    </w:rPr>
  </w:style>
  <w:style w:type="character" w:customStyle="1" w:styleId="CommentSubjectChar">
    <w:name w:val="Comment Subject Char"/>
    <w:basedOn w:val="CommentTextChar"/>
    <w:link w:val="CommentSubject"/>
    <w:uiPriority w:val="99"/>
    <w:semiHidden/>
    <w:rsid w:val="00695242"/>
    <w:rPr>
      <w:rFonts w:ascii="Arial" w:eastAsia="Times New Roman" w:hAnsi="Arial" w:cs="Times New Roman"/>
      <w:b/>
      <w:bCs/>
      <w:sz w:val="20"/>
      <w:szCs w:val="20"/>
    </w:rPr>
  </w:style>
  <w:style w:type="table" w:styleId="TableGrid">
    <w:name w:val="Table Grid"/>
    <w:basedOn w:val="TableNormal"/>
    <w:uiPriority w:val="59"/>
    <w:rsid w:val="00ED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695242"/>
    <w:rPr>
      <w:sz w:val="16"/>
      <w:szCs w:val="16"/>
    </w:rPr>
  </w:style>
  <w:style w:type="paragraph" w:styleId="CommentText">
    <w:name w:val="annotation text"/>
    <w:basedOn w:val="Normal"/>
    <w:link w:val="CommentTextChar"/>
    <w:uiPriority w:val="99"/>
    <w:semiHidden/>
    <w:unhideWhenUsed/>
    <w:rsid w:val="00695242"/>
    <w:pPr>
      <w:spacing w:line="240" w:lineRule="auto"/>
    </w:pPr>
    <w:rPr>
      <w:sz w:val="20"/>
    </w:rPr>
  </w:style>
  <w:style w:type="character" w:customStyle="1" w:styleId="CommentTextChar">
    <w:name w:val="Comment Text Char"/>
    <w:basedOn w:val="DefaultParagraphFont"/>
    <w:link w:val="CommentText"/>
    <w:uiPriority w:val="99"/>
    <w:semiHidden/>
    <w:rsid w:val="00695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5242"/>
    <w:rPr>
      <w:b/>
      <w:bCs/>
    </w:rPr>
  </w:style>
  <w:style w:type="character" w:customStyle="1" w:styleId="CommentSubjectChar">
    <w:name w:val="Comment Subject Char"/>
    <w:basedOn w:val="CommentTextChar"/>
    <w:link w:val="CommentSubject"/>
    <w:uiPriority w:val="99"/>
    <w:semiHidden/>
    <w:rsid w:val="00695242"/>
    <w:rPr>
      <w:rFonts w:ascii="Arial" w:eastAsia="Times New Roman" w:hAnsi="Arial" w:cs="Times New Roman"/>
      <w:b/>
      <w:bCs/>
      <w:sz w:val="20"/>
      <w:szCs w:val="20"/>
    </w:rPr>
  </w:style>
  <w:style w:type="table" w:styleId="TableGrid">
    <w:name w:val="Table Grid"/>
    <w:basedOn w:val="TableNormal"/>
    <w:uiPriority w:val="59"/>
    <w:rsid w:val="00ED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6307">
      <w:bodyDiv w:val="1"/>
      <w:marLeft w:val="0"/>
      <w:marRight w:val="0"/>
      <w:marTop w:val="0"/>
      <w:marBottom w:val="0"/>
      <w:divBdr>
        <w:top w:val="none" w:sz="0" w:space="0" w:color="auto"/>
        <w:left w:val="none" w:sz="0" w:space="0" w:color="auto"/>
        <w:bottom w:val="none" w:sz="0" w:space="0" w:color="auto"/>
        <w:right w:val="none" w:sz="0" w:space="0" w:color="auto"/>
      </w:divBdr>
    </w:div>
    <w:div w:id="261188423">
      <w:bodyDiv w:val="1"/>
      <w:marLeft w:val="0"/>
      <w:marRight w:val="0"/>
      <w:marTop w:val="0"/>
      <w:marBottom w:val="0"/>
      <w:divBdr>
        <w:top w:val="none" w:sz="0" w:space="0" w:color="auto"/>
        <w:left w:val="none" w:sz="0" w:space="0" w:color="auto"/>
        <w:bottom w:val="none" w:sz="0" w:space="0" w:color="auto"/>
        <w:right w:val="none" w:sz="0" w:space="0" w:color="auto"/>
      </w:divBdr>
    </w:div>
    <w:div w:id="374893628">
      <w:bodyDiv w:val="1"/>
      <w:marLeft w:val="0"/>
      <w:marRight w:val="0"/>
      <w:marTop w:val="0"/>
      <w:marBottom w:val="0"/>
      <w:divBdr>
        <w:top w:val="none" w:sz="0" w:space="0" w:color="auto"/>
        <w:left w:val="none" w:sz="0" w:space="0" w:color="auto"/>
        <w:bottom w:val="none" w:sz="0" w:space="0" w:color="auto"/>
        <w:right w:val="none" w:sz="0" w:space="0" w:color="auto"/>
      </w:divBdr>
    </w:div>
    <w:div w:id="10809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onsult.scotland.gov.uk/tribunals-administrative-justice-policy/tribunals-scotland-act-2014-draft-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A19312098</value>
    </field>
    <field name="Objective-Title">
      <value order="0">SCAP transfer - consultation report</value>
    </field>
    <field name="Objective-Description">
      <value order="0"/>
    </field>
    <field name="Objective-CreationStamp">
      <value order="0">2017-10-31T15:46:21Z</value>
    </field>
    <field name="Objective-IsApproved">
      <value order="0">false</value>
    </field>
    <field name="Objective-IsPublished">
      <value order="0">false</value>
    </field>
    <field name="Objective-DatePublished">
      <value order="0"/>
    </field>
    <field name="Objective-ModificationStamp">
      <value order="0">2017-10-31T17:29:44Z</value>
    </field>
    <field name="Objective-Owner">
      <value order="0">Frodsham, Hannah H (U419397)</value>
    </field>
    <field name="Objective-Path">
      <value order="0">Objective Global Folder:SG File Plan:Crime, law, justice and rights:Justice system:General:Advice and policy: Justice system - general:Tribunals: Tribunals (Scotland) Act 2014 Consultations: 2015-2020</value>
    </field>
    <field name="Objective-Parent">
      <value order="0">Tribunals: Tribunals (Scotland) Act 2014 Consultations: 2015-2020</value>
    </field>
    <field name="Objective-State">
      <value order="0">Being Drafted</value>
    </field>
    <field name="Objective-VersionId">
      <value order="0">vA26895297</value>
    </field>
    <field name="Objective-Version">
      <value order="0">0.2</value>
    </field>
    <field name="Objective-VersionNumber">
      <value order="0">2</value>
    </field>
    <field name="Objective-VersionComment">
      <value order="0"/>
    </field>
    <field name="Objective-FileNumber">
      <value order="0">qA510808</value>
    </field>
    <field name="Objective-Classification">
      <value order="0">OFFICIAL-SENSITIVE</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0447AA3-5409-4241-971F-8C772C01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u203871</dc:creator>
  <cp:lastModifiedBy>U441921</cp:lastModifiedBy>
  <cp:revision>2</cp:revision>
  <cp:lastPrinted>2016-12-15T09:31:00Z</cp:lastPrinted>
  <dcterms:created xsi:type="dcterms:W3CDTF">2017-11-03T10:34:00Z</dcterms:created>
  <dcterms:modified xsi:type="dcterms:W3CDTF">2017-11-03T10:34:00Z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A19312098</vt:lpwstr>
  </property>
  <property fmtid="{D5CDD505-2E9C-101B-9397-08002B2CF9AE}" pid="4" name="Objective-Title">
    <vt:lpwstr>SCAP transfer - consultation report</vt:lpwstr>
  </property>
  <property fmtid="{D5CDD505-2E9C-101B-9397-08002B2CF9AE}" pid="5" name="Objective-Comment">
    <vt:lpwstr>
    </vt:lpwstr>
  </property>
  <property fmtid="{D5CDD505-2E9C-101B-9397-08002B2CF9AE}" pid="6" name="Objective-CreationStamp">
    <vt:filetime>2017-10-31T15:47:51Z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2017-10-31T17:29:45Z</vt:filetime>
  </property>
  <property fmtid="{D5CDD505-2E9C-101B-9397-08002B2CF9AE}" pid="11" name="Objective-Owner">
    <vt:lpwstr>Frodsham, Hannah H (U419397)</vt:lpwstr>
  </property>
  <property fmtid="{D5CDD505-2E9C-101B-9397-08002B2CF9AE}" pid="12" name="Objective-Path">
    <vt:lpwstr>Objective Global Folder:SG File Plan:Crime, law, justice and rights:Justice system:General:Advice and policy: Justice system - general:Tribunals: Tribunals (Scotland) Act 2014 Consultations: 2015-2020:</vt:lpwstr>
  </property>
  <property fmtid="{D5CDD505-2E9C-101B-9397-08002B2CF9AE}" pid="13" name="Objective-Parent">
    <vt:lpwstr>Tribunals: Tribunals (Scotland) Act 2014 Consultations: 2015-2020</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Objective-Description">
    <vt:lpwstr>
    </vt:lpwstr>
  </property>
  <property fmtid="{D5CDD505-2E9C-101B-9397-08002B2CF9AE}" pid="26" name="Objective-VersionId">
    <vt:lpwstr>vA26895297</vt:lpwstr>
  </property>
  <property fmtid="{D5CDD505-2E9C-101B-9397-08002B2CF9AE}" pid="27" name="Objective-Connect Creator">
    <vt:lpwstr>
    </vt:lpwstr>
  </property>
  <property fmtid="{D5CDD505-2E9C-101B-9397-08002B2CF9AE}" pid="28" name="Objective-Date Received">
    <vt:lpwstr>
    </vt:lpwstr>
  </property>
  <property fmtid="{D5CDD505-2E9C-101B-9397-08002B2CF9AE}" pid="29" name="Objective-Date of Original">
    <vt:lpwstr>
    </vt:lpwstr>
  </property>
  <property fmtid="{D5CDD505-2E9C-101B-9397-08002B2CF9AE}" pid="30" name="Objective-SG Web Publication - Category">
    <vt:lpwstr>
    </vt:lpwstr>
  </property>
  <property fmtid="{D5CDD505-2E9C-101B-9397-08002B2CF9AE}" pid="31" name="Objective-SG Web Publication - Category 2 Classification">
    <vt:lpwstr>
    </vt:lpwstr>
  </property>
  <property fmtid="{D5CDD505-2E9C-101B-9397-08002B2CF9AE}" pid="32" name="Objective-Connect Creator [system]">
    <vt:lpwstr>
    </vt:lpwstr>
  </property>
</Properties>
</file>