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22F6" w:rsidRDefault="00DF2ACF"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59264" behindDoc="0" locked="0" layoutInCell="1" allowOverlap="1" wp14:anchorId="16168A20" wp14:editId="79BDA91D">
                <wp:simplePos x="0" y="0"/>
                <wp:positionH relativeFrom="margin">
                  <wp:posOffset>-504825</wp:posOffset>
                </wp:positionH>
                <wp:positionV relativeFrom="paragraph">
                  <wp:posOffset>-447675</wp:posOffset>
                </wp:positionV>
                <wp:extent cx="7086600" cy="85058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7086600" cy="850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2ACF" w:rsidRDefault="00DF2ACF" w:rsidP="00DF2ACF">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 xml:space="preserve">Tribunals (Scotland) Act 2014 - </w:t>
                            </w:r>
                            <w:r w:rsidRPr="00862BA9">
                              <w:rPr>
                                <w:rStyle w:val="Strong"/>
                                <w:rFonts w:asciiTheme="minorHAnsi" w:hAnsiTheme="minorHAnsi" w:cstheme="minorHAnsi"/>
                                <w:sz w:val="72"/>
                                <w:szCs w:val="72"/>
                              </w:rPr>
                              <w:t>Co</w:t>
                            </w:r>
                            <w:r>
                              <w:rPr>
                                <w:rStyle w:val="Strong"/>
                                <w:rFonts w:asciiTheme="minorHAnsi" w:hAnsiTheme="minorHAnsi" w:cstheme="minorHAnsi"/>
                                <w:sz w:val="72"/>
                                <w:szCs w:val="72"/>
                              </w:rPr>
                              <w:t>nsultation on Draft Regulations regarding:</w:t>
                            </w:r>
                          </w:p>
                          <w:p w:rsidR="00DF2ACF" w:rsidRDefault="00DF2ACF" w:rsidP="00DF2ACF">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(1) the Transfer of Functions and Members of the Scottish Tax Tribunals to the Scottish Tribunals</w:t>
                            </w:r>
                            <w:r w:rsidRPr="005D49CC">
                              <w:rPr>
                                <w:rStyle w:val="Strong"/>
                                <w:rFonts w:asciiTheme="minorHAnsi" w:hAnsiTheme="minorHAnsi" w:cstheme="minorHAnsi"/>
                                <w:sz w:val="72"/>
                                <w:szCs w:val="72"/>
                              </w:rPr>
                              <w:t>;</w:t>
                            </w:r>
                          </w:p>
                          <w:p w:rsidR="00DF2ACF" w:rsidRDefault="00DF2ACF" w:rsidP="00DF2ACF">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(2) the rules of procedure for the First-tier Tribunal for Scotland Tax Chamber and</w:t>
                            </w:r>
                          </w:p>
                          <w:p w:rsidR="00DF2ACF" w:rsidRDefault="00DF2ACF" w:rsidP="00DF2ACF">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(3) the Composition of the First-tier and Upper Tribunals for Scotland</w:t>
                            </w:r>
                          </w:p>
                          <w:p w:rsidR="00DF2ACF" w:rsidRDefault="00DF2ACF" w:rsidP="00DF2ACF">
                            <w:pPr>
                              <w:spacing w:after="0" w:line="240" w:lineRule="auto"/>
                              <w:ind w:left="357"/>
                              <w:rPr>
                                <w:rStyle w:val="Strong"/>
                                <w:rFonts w:asciiTheme="minorHAnsi" w:hAnsiTheme="minorHAnsi" w:cstheme="minorHAnsi"/>
                                <w:sz w:val="72"/>
                                <w:szCs w:val="72"/>
                              </w:rPr>
                            </w:pPr>
                          </w:p>
                          <w:p w:rsidR="00DF2ACF" w:rsidRPr="005D49CC" w:rsidRDefault="00DF2ACF" w:rsidP="00DF2ACF">
                            <w:pPr>
                              <w:spacing w:after="0" w:line="240" w:lineRule="auto"/>
                              <w:ind w:left="357"/>
                              <w:rPr>
                                <w:rFonts w:asciiTheme="minorHAnsi" w:hAnsiTheme="minorHAnsi" w:cstheme="minorHAnsi"/>
                                <w:b/>
                                <w:bCs/>
                                <w:sz w:val="72"/>
                                <w:szCs w:val="72"/>
                              </w:rPr>
                            </w:pPr>
                            <w:r>
                              <w:rPr>
                                <w:rStyle w:val="Strong"/>
                                <w:rFonts w:asciiTheme="minorHAnsi" w:hAnsiTheme="minorHAnsi" w:cstheme="minorHAnsi"/>
                                <w:sz w:val="72"/>
                                <w:szCs w:val="72"/>
                              </w:rPr>
                              <w:t xml:space="preserve">Analysis of responses </w:t>
                            </w:r>
                          </w:p>
                          <w:p w:rsidR="007B4B22" w:rsidRDefault="007B4B22" w:rsidP="003410A8">
                            <w:pPr>
                              <w:spacing w:after="0" w:line="240" w:lineRule="auto"/>
                              <w:rPr>
                                <w:rStyle w:val="Strong"/>
                                <w:rFonts w:asciiTheme="minorHAnsi" w:hAnsiTheme="minorHAnsi" w:cstheme="minorHAnsi"/>
                                <w:sz w:val="260"/>
                                <w:szCs w:val="72"/>
                              </w:rPr>
                            </w:pPr>
                          </w:p>
                          <w:p w:rsidR="00677F21" w:rsidRDefault="00677F21" w:rsidP="003410A8">
                            <w:pPr>
                              <w:spacing w:after="0" w:line="240" w:lineRule="auto"/>
                              <w:rPr>
                                <w:rStyle w:val="Strong"/>
                                <w:rFonts w:asciiTheme="minorHAnsi" w:hAnsiTheme="minorHAnsi" w:cstheme="minorHAnsi"/>
                                <w:sz w:val="72"/>
                                <w:szCs w:val="72"/>
                              </w:rPr>
                            </w:pPr>
                            <w:r>
                              <w:rPr>
                                <w:rStyle w:val="Strong"/>
                                <w:rFonts w:asciiTheme="minorHAnsi" w:hAnsiTheme="minorHAnsi" w:cstheme="minorHAnsi"/>
                                <w:sz w:val="72"/>
                                <w:szCs w:val="72"/>
                              </w:rPr>
                              <w:t>Analysis of Responses</w:t>
                            </w: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75pt;margin-top:-35.25pt;width:558pt;height:6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" fillcolor="white [3201]" stroked="f" strokeweight=".5pt">
                <v:textbox>
                  <w:txbxContent>
                    <w:p w:rsidR="00DF2ACF" w:rsidRDefault="00DF2ACF" w:rsidP="00DF2ACF">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 xml:space="preserve">Tribunals (Scotland) Act 2014 - </w:t>
                      </w:r>
                      <w:r w:rsidRPr="00862BA9">
                        <w:rPr>
                          <w:rStyle w:val="Strong"/>
                          <w:rFonts w:asciiTheme="minorHAnsi" w:hAnsiTheme="minorHAnsi" w:cstheme="minorHAnsi"/>
                          <w:sz w:val="72"/>
                          <w:szCs w:val="72"/>
                        </w:rPr>
                        <w:t>Co</w:t>
                      </w:r>
                      <w:r>
                        <w:rPr>
                          <w:rStyle w:val="Strong"/>
                          <w:rFonts w:asciiTheme="minorHAnsi" w:hAnsiTheme="minorHAnsi" w:cstheme="minorHAnsi"/>
                          <w:sz w:val="72"/>
                          <w:szCs w:val="72"/>
                        </w:rPr>
                        <w:t>nsultation on Draft Regulations regarding:</w:t>
                      </w:r>
                    </w:p>
                    <w:p w:rsidR="00DF2ACF" w:rsidRDefault="00DF2ACF" w:rsidP="00DF2ACF">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 xml:space="preserve">(1) </w:t>
                      </w:r>
                      <w:proofErr w:type="gramStart"/>
                      <w:r>
                        <w:rPr>
                          <w:rStyle w:val="Strong"/>
                          <w:rFonts w:asciiTheme="minorHAnsi" w:hAnsiTheme="minorHAnsi" w:cstheme="minorHAnsi"/>
                          <w:sz w:val="72"/>
                          <w:szCs w:val="72"/>
                        </w:rPr>
                        <w:t>the</w:t>
                      </w:r>
                      <w:proofErr w:type="gramEnd"/>
                      <w:r>
                        <w:rPr>
                          <w:rStyle w:val="Strong"/>
                          <w:rFonts w:asciiTheme="minorHAnsi" w:hAnsiTheme="minorHAnsi" w:cstheme="minorHAnsi"/>
                          <w:sz w:val="72"/>
                          <w:szCs w:val="72"/>
                        </w:rPr>
                        <w:t xml:space="preserve"> Transfer of Functions and Members of the Scottish Tax Tribunals to the Scottish Tribunals</w:t>
                      </w:r>
                      <w:r w:rsidRPr="005D49CC">
                        <w:rPr>
                          <w:rStyle w:val="Strong"/>
                          <w:rFonts w:asciiTheme="minorHAnsi" w:hAnsiTheme="minorHAnsi" w:cstheme="minorHAnsi"/>
                          <w:sz w:val="72"/>
                          <w:szCs w:val="72"/>
                        </w:rPr>
                        <w:t>;</w:t>
                      </w:r>
                    </w:p>
                    <w:p w:rsidR="00DF2ACF" w:rsidRDefault="00DF2ACF" w:rsidP="00DF2ACF">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 xml:space="preserve">(2) </w:t>
                      </w:r>
                      <w:proofErr w:type="gramStart"/>
                      <w:r>
                        <w:rPr>
                          <w:rStyle w:val="Strong"/>
                          <w:rFonts w:asciiTheme="minorHAnsi" w:hAnsiTheme="minorHAnsi" w:cstheme="minorHAnsi"/>
                          <w:sz w:val="72"/>
                          <w:szCs w:val="72"/>
                        </w:rPr>
                        <w:t>the</w:t>
                      </w:r>
                      <w:proofErr w:type="gramEnd"/>
                      <w:r>
                        <w:rPr>
                          <w:rStyle w:val="Strong"/>
                          <w:rFonts w:asciiTheme="minorHAnsi" w:hAnsiTheme="minorHAnsi" w:cstheme="minorHAnsi"/>
                          <w:sz w:val="72"/>
                          <w:szCs w:val="72"/>
                        </w:rPr>
                        <w:t xml:space="preserve"> rules of procedure for the First-tier Tribunal for Scotland Tax Chamber and</w:t>
                      </w:r>
                    </w:p>
                    <w:p w:rsidR="00DF2ACF" w:rsidRDefault="00DF2ACF" w:rsidP="00DF2ACF">
                      <w:pPr>
                        <w:spacing w:after="0" w:line="240" w:lineRule="auto"/>
                        <w:ind w:left="357"/>
                        <w:rPr>
                          <w:rStyle w:val="Strong"/>
                          <w:rFonts w:asciiTheme="minorHAnsi" w:hAnsiTheme="minorHAnsi" w:cstheme="minorHAnsi"/>
                          <w:sz w:val="72"/>
                          <w:szCs w:val="72"/>
                        </w:rPr>
                      </w:pPr>
                      <w:r>
                        <w:rPr>
                          <w:rStyle w:val="Strong"/>
                          <w:rFonts w:asciiTheme="minorHAnsi" w:hAnsiTheme="minorHAnsi" w:cstheme="minorHAnsi"/>
                          <w:sz w:val="72"/>
                          <w:szCs w:val="72"/>
                        </w:rPr>
                        <w:t xml:space="preserve">(3) </w:t>
                      </w:r>
                      <w:proofErr w:type="gramStart"/>
                      <w:r>
                        <w:rPr>
                          <w:rStyle w:val="Strong"/>
                          <w:rFonts w:asciiTheme="minorHAnsi" w:hAnsiTheme="minorHAnsi" w:cstheme="minorHAnsi"/>
                          <w:sz w:val="72"/>
                          <w:szCs w:val="72"/>
                        </w:rPr>
                        <w:t>the</w:t>
                      </w:r>
                      <w:proofErr w:type="gramEnd"/>
                      <w:r>
                        <w:rPr>
                          <w:rStyle w:val="Strong"/>
                          <w:rFonts w:asciiTheme="minorHAnsi" w:hAnsiTheme="minorHAnsi" w:cstheme="minorHAnsi"/>
                          <w:sz w:val="72"/>
                          <w:szCs w:val="72"/>
                        </w:rPr>
                        <w:t xml:space="preserve"> Composition of the First-tier and Upper Tribunals for Scotland</w:t>
                      </w:r>
                    </w:p>
                    <w:p w:rsidR="00DF2ACF" w:rsidRDefault="00DF2ACF" w:rsidP="00DF2ACF">
                      <w:pPr>
                        <w:spacing w:after="0" w:line="240" w:lineRule="auto"/>
                        <w:ind w:left="357"/>
                        <w:rPr>
                          <w:rStyle w:val="Strong"/>
                          <w:rFonts w:asciiTheme="minorHAnsi" w:hAnsiTheme="minorHAnsi" w:cstheme="minorHAnsi"/>
                          <w:sz w:val="72"/>
                          <w:szCs w:val="72"/>
                        </w:rPr>
                      </w:pPr>
                    </w:p>
                    <w:p w:rsidR="00DF2ACF" w:rsidRPr="005D49CC" w:rsidRDefault="00DF2ACF" w:rsidP="00DF2ACF">
                      <w:pPr>
                        <w:spacing w:after="0" w:line="240" w:lineRule="auto"/>
                        <w:ind w:left="357"/>
                        <w:rPr>
                          <w:rFonts w:asciiTheme="minorHAnsi" w:hAnsiTheme="minorHAnsi" w:cstheme="minorHAnsi"/>
                          <w:b/>
                          <w:bCs/>
                          <w:sz w:val="72"/>
                          <w:szCs w:val="72"/>
                        </w:rPr>
                      </w:pPr>
                      <w:r>
                        <w:rPr>
                          <w:rStyle w:val="Strong"/>
                          <w:rFonts w:asciiTheme="minorHAnsi" w:hAnsiTheme="minorHAnsi" w:cstheme="minorHAnsi"/>
                          <w:sz w:val="72"/>
                          <w:szCs w:val="72"/>
                        </w:rPr>
                        <w:t xml:space="preserve">Analysis of responses </w:t>
                      </w:r>
                    </w:p>
                    <w:p w:rsidR="007B4B22" w:rsidRDefault="007B4B22" w:rsidP="003410A8">
                      <w:pPr>
                        <w:spacing w:after="0" w:line="240" w:lineRule="auto"/>
                        <w:rPr>
                          <w:rStyle w:val="Strong"/>
                          <w:rFonts w:asciiTheme="minorHAnsi" w:hAnsiTheme="minorHAnsi" w:cstheme="minorHAnsi"/>
                          <w:sz w:val="260"/>
                          <w:szCs w:val="72"/>
                        </w:rPr>
                      </w:pPr>
                    </w:p>
                    <w:p w:rsidR="00677F21" w:rsidRDefault="00677F21" w:rsidP="003410A8">
                      <w:pPr>
                        <w:spacing w:after="0" w:line="240" w:lineRule="auto"/>
                        <w:rPr>
                          <w:rStyle w:val="Strong"/>
                          <w:rFonts w:asciiTheme="minorHAnsi" w:hAnsiTheme="minorHAnsi" w:cstheme="minorHAnsi"/>
                          <w:sz w:val="72"/>
                          <w:szCs w:val="72"/>
                        </w:rPr>
                      </w:pPr>
                      <w:r>
                        <w:rPr>
                          <w:rStyle w:val="Strong"/>
                          <w:rFonts w:asciiTheme="minorHAnsi" w:hAnsiTheme="minorHAnsi" w:cstheme="minorHAnsi"/>
                          <w:sz w:val="72"/>
                          <w:szCs w:val="72"/>
                        </w:rPr>
                        <w:t>Analysis of Responses</w:t>
                      </w: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v:textbox>
                <w10:wrap anchorx="margin"/>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B927FE">
      <w:pPr>
        <w:spacing w:line="240" w:lineRule="auto"/>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60288" behindDoc="0" locked="0" layoutInCell="1" allowOverlap="1" wp14:anchorId="282E5C48" wp14:editId="1597080E">
                <wp:simplePos x="0" y="0"/>
                <wp:positionH relativeFrom="column">
                  <wp:posOffset>4762500</wp:posOffset>
                </wp:positionH>
                <wp:positionV relativeFrom="paragraph">
                  <wp:posOffset>105410</wp:posOffset>
                </wp:positionV>
                <wp:extent cx="1485900" cy="152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5900" cy="15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013A" w:rsidRDefault="007B013A">
                            <w:r>
                              <w:rPr>
                                <w:rFonts w:cs="Arial"/>
                                <w:b/>
                                <w:bCs/>
                                <w:noProof/>
                                <w:szCs w:val="24"/>
                                <w:lang w:eastAsia="en-GB"/>
                              </w:rPr>
                              <w:drawing>
                                <wp:inline distT="0" distB="0" distL="0" distR="0" wp14:anchorId="0B0B8094" wp14:editId="53505254">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75pt;margin-top:8.3pt;width:117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" filled="f" stroked="f" strokeweight=".5pt">
                <v:textbox>
                  <w:txbxContent>
                    <w:p w:rsidR="007B013A" w:rsidRDefault="007B013A">
                      <w:r>
                        <w:rPr>
                          <w:rFonts w:cs="Arial"/>
                          <w:b/>
                          <w:bCs/>
                          <w:noProof/>
                          <w:szCs w:val="24"/>
                          <w:lang w:eastAsia="en-GB"/>
                        </w:rPr>
                        <w:drawing>
                          <wp:inline distT="0" distB="0" distL="0" distR="0" wp14:anchorId="0E41AD6B" wp14:editId="08A68D7C">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v:textbox>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Fonts w:cs="Arial"/>
          <w:b/>
          <w:bCs/>
          <w:noProof/>
          <w:szCs w:val="24"/>
          <w:lang w:eastAsia="en-GB"/>
        </w:rPr>
      </w:pPr>
    </w:p>
    <w:p w:rsidR="0033362A" w:rsidRDefault="00677F21" w:rsidP="000E22F6">
      <w:pPr>
        <w:spacing w:line="240" w:lineRule="auto"/>
        <w:ind w:left="360"/>
        <w:rPr>
          <w:rStyle w:val="Strong"/>
          <w:rFonts w:cs="Arial"/>
          <w:szCs w:val="24"/>
        </w:rPr>
      </w:pPr>
      <w:r w:rsidRPr="00677F21">
        <w:rPr>
          <w:rFonts w:cs="Arial"/>
          <w:b/>
          <w:bCs/>
          <w:noProof/>
          <w:szCs w:val="24"/>
          <w:lang w:eastAsia="en-GB"/>
        </w:rPr>
        <mc:AlternateContent>
          <mc:Choice Requires="wps">
            <w:drawing>
              <wp:anchor distT="0" distB="0" distL="114300" distR="114300" simplePos="0" relativeHeight="251671552" behindDoc="0" locked="0" layoutInCell="1" allowOverlap="1" wp14:anchorId="5E1CC904" wp14:editId="115886AE">
                <wp:simplePos x="0" y="0"/>
                <wp:positionH relativeFrom="column">
                  <wp:posOffset>-585470</wp:posOffset>
                </wp:positionH>
                <wp:positionV relativeFrom="paragraph">
                  <wp:posOffset>24765</wp:posOffset>
                </wp:positionV>
                <wp:extent cx="237426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77F21" w:rsidRDefault="00DF2ACF">
                            <w:r>
                              <w:t>January 2017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left:0;text-align:left;margin-left:-46.1pt;margin-top:1.95pt;width:186.95pt;height:110.5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" stroked="f">
                <v:textbox style="mso-fit-shape-to-text:t">
                  <w:txbxContent>
                    <w:p w:rsidR="00677F21" w:rsidRDefault="00DF2ACF">
                      <w:r>
                        <w:t>January 2017</w:t>
                      </w:r>
                    </w:p>
                  </w:txbxContent>
                </v:textbox>
              </v:shape>
            </w:pict>
          </mc:Fallback>
        </mc:AlternateContent>
      </w:r>
    </w:p>
    <w:p w:rsidR="0033362A" w:rsidRDefault="0033362A" w:rsidP="0033362A">
      <w:pPr>
        <w:rPr>
          <w:rStyle w:val="Strong"/>
          <w:rFonts w:cs="Arial"/>
          <w:szCs w:val="24"/>
        </w:rPr>
      </w:pPr>
      <w:r>
        <w:rPr>
          <w:rStyle w:val="Strong"/>
          <w:rFonts w:cs="Arial"/>
          <w:szCs w:val="24"/>
        </w:rPr>
        <w:br w:type="page"/>
      </w:r>
    </w:p>
    <w:p w:rsidR="00326BBC" w:rsidRDefault="00326BBC" w:rsidP="00326BBC">
      <w:pPr>
        <w:spacing w:after="200"/>
        <w:rPr>
          <w:rStyle w:val="Strong"/>
          <w:rFonts w:cs="Arial"/>
          <w:szCs w:val="24"/>
        </w:rPr>
      </w:pPr>
      <w:r>
        <w:rPr>
          <w:rStyle w:val="Strong"/>
          <w:rFonts w:cs="Arial"/>
          <w:szCs w:val="24"/>
        </w:rPr>
        <w:lastRenderedPageBreak/>
        <w:tab/>
      </w:r>
      <w:r>
        <w:rPr>
          <w:rStyle w:val="Strong"/>
          <w:rFonts w:cs="Arial"/>
          <w:szCs w:val="24"/>
        </w:rPr>
        <w:tab/>
      </w:r>
      <w:r>
        <w:rPr>
          <w:rStyle w:val="Strong"/>
          <w:rFonts w:cs="Arial"/>
          <w:szCs w:val="24"/>
        </w:rPr>
        <w:tab/>
      </w:r>
      <w:r>
        <w:rPr>
          <w:rStyle w:val="Strong"/>
          <w:rFonts w:cs="Arial"/>
          <w:szCs w:val="24"/>
        </w:rPr>
        <w:tab/>
      </w:r>
      <w:r w:rsidR="00B1191D">
        <w:rPr>
          <w:rStyle w:val="Strong"/>
          <w:rFonts w:cs="Arial"/>
          <w:szCs w:val="24"/>
        </w:rPr>
        <w:t>Table of Contents</w:t>
      </w:r>
    </w:p>
    <w:p w:rsidR="00B1191D" w:rsidRDefault="00B1191D" w:rsidP="00326BBC">
      <w:pPr>
        <w:spacing w:after="200"/>
        <w:rPr>
          <w:rStyle w:val="Strong"/>
          <w:rFonts w:cs="Arial"/>
          <w:szCs w:val="24"/>
        </w:rPr>
      </w:pPr>
    </w:p>
    <w:p w:rsidR="00326BBC" w:rsidRDefault="00326BBC"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Pr="00326BBC" w:rsidRDefault="00B1191D" w:rsidP="00326BBC">
      <w:pPr>
        <w:spacing w:after="200"/>
        <w:rPr>
          <w:rStyle w:val="Strong"/>
          <w:rFonts w:cs="Arial"/>
          <w:b w:val="0"/>
          <w:szCs w:val="24"/>
        </w:rPr>
      </w:pPr>
    </w:p>
    <w:p w:rsidR="00326BBC" w:rsidRDefault="00B1191D">
      <w:pPr>
        <w:spacing w:after="200"/>
        <w:rPr>
          <w:rStyle w:val="Strong"/>
          <w:rFonts w:cs="Arial"/>
          <w:b w:val="0"/>
          <w:szCs w:val="24"/>
        </w:rPr>
      </w:pPr>
      <w:r>
        <w:rPr>
          <w:rStyle w:val="Strong"/>
          <w:rFonts w:cs="Arial"/>
          <w:szCs w:val="24"/>
        </w:rPr>
        <w:tab/>
      </w:r>
      <w:r>
        <w:rPr>
          <w:rStyle w:val="Strong"/>
          <w:rFonts w:cs="Arial"/>
          <w:szCs w:val="24"/>
        </w:rPr>
        <w:tab/>
      </w:r>
      <w:r>
        <w:rPr>
          <w:rStyle w:val="Strong"/>
          <w:rFonts w:cs="Arial"/>
          <w:szCs w:val="24"/>
        </w:rPr>
        <w:tab/>
      </w:r>
      <w:r>
        <w:rPr>
          <w:rStyle w:val="Strong"/>
          <w:rFonts w:cs="Arial"/>
          <w:b w:val="0"/>
          <w:szCs w:val="24"/>
        </w:rPr>
        <w:t>Background</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 xml:space="preserve">page </w:t>
      </w:r>
      <w:r w:rsidR="008C536F">
        <w:rPr>
          <w:rStyle w:val="Strong"/>
          <w:rFonts w:cs="Arial"/>
          <w:b w:val="0"/>
          <w:szCs w:val="24"/>
        </w:rPr>
        <w:t>3</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Consultation Responses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3</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Analysis of responses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4</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Next Steps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sidR="008C536F">
        <w:rPr>
          <w:rStyle w:val="Strong"/>
          <w:rFonts w:cs="Arial"/>
          <w:b w:val="0"/>
          <w:szCs w:val="24"/>
        </w:rPr>
        <w:t>page 6</w:t>
      </w:r>
    </w:p>
    <w:p w:rsidR="00B1191D" w:rsidRPr="00B1191D" w:rsidRDefault="00B1191D">
      <w:pPr>
        <w:spacing w:after="200"/>
        <w:rPr>
          <w:rStyle w:val="Strong"/>
          <w:rFonts w:cs="Arial"/>
          <w:b w:val="0"/>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rsidP="00326BBC">
      <w:pPr>
        <w:spacing w:after="200"/>
        <w:rPr>
          <w:rStyle w:val="Strong"/>
          <w:rFonts w:cs="Arial"/>
          <w:szCs w:val="24"/>
        </w:rPr>
      </w:pPr>
      <w:r>
        <w:rPr>
          <w:rStyle w:val="Strong"/>
          <w:rFonts w:cs="Arial"/>
          <w:szCs w:val="24"/>
        </w:rPr>
        <w:br w:type="page"/>
      </w:r>
    </w:p>
    <w:p w:rsidR="005B7496" w:rsidRDefault="00677F21" w:rsidP="00326BBC">
      <w:pPr>
        <w:spacing w:after="200"/>
        <w:rPr>
          <w:rFonts w:cs="Arial"/>
          <w:b/>
          <w:szCs w:val="24"/>
        </w:rPr>
      </w:pPr>
      <w:r>
        <w:rPr>
          <w:rFonts w:cs="Arial"/>
          <w:b/>
          <w:szCs w:val="24"/>
        </w:rPr>
        <w:lastRenderedPageBreak/>
        <w:t xml:space="preserve">ANALYSIS OF RESPONSES TO THE CONSULTATION ON DRAFT REGULATIONS </w:t>
      </w:r>
      <w:r w:rsidR="00300574">
        <w:rPr>
          <w:rFonts w:cs="Arial"/>
          <w:b/>
          <w:szCs w:val="24"/>
        </w:rPr>
        <w:t>FOR</w:t>
      </w:r>
      <w:r w:rsidR="005B7496">
        <w:rPr>
          <w:rFonts w:cs="Arial"/>
          <w:b/>
          <w:szCs w:val="24"/>
        </w:rPr>
        <w:t>:</w:t>
      </w:r>
    </w:p>
    <w:p w:rsidR="00DF2ACF" w:rsidRDefault="00300574" w:rsidP="005B7496">
      <w:pPr>
        <w:pStyle w:val="ListParagraph"/>
        <w:numPr>
          <w:ilvl w:val="0"/>
          <w:numId w:val="15"/>
        </w:numPr>
        <w:rPr>
          <w:rFonts w:ascii="Arial" w:hAnsi="Arial" w:cs="Arial"/>
          <w:b/>
          <w:sz w:val="24"/>
          <w:szCs w:val="24"/>
        </w:rPr>
      </w:pPr>
      <w:r>
        <w:rPr>
          <w:rFonts w:ascii="Arial" w:hAnsi="Arial" w:cs="Arial"/>
          <w:b/>
          <w:sz w:val="24"/>
          <w:szCs w:val="24"/>
        </w:rPr>
        <w:t xml:space="preserve">THE TRANSFER OF FUNCTIONS AND MEMBERS OF </w:t>
      </w:r>
      <w:r w:rsidR="00DF2ACF">
        <w:rPr>
          <w:rFonts w:ascii="Arial" w:hAnsi="Arial" w:cs="Arial"/>
          <w:b/>
          <w:sz w:val="24"/>
          <w:szCs w:val="24"/>
        </w:rPr>
        <w:t>THE SCOTTISH TAX TRIBUNALS TO THE SCOTTISH TRIBUNALS</w:t>
      </w:r>
      <w:r>
        <w:rPr>
          <w:rFonts w:ascii="Arial" w:hAnsi="Arial" w:cs="Arial"/>
          <w:b/>
          <w:sz w:val="24"/>
          <w:szCs w:val="24"/>
        </w:rPr>
        <w:t>,</w:t>
      </w:r>
      <w:r w:rsidR="00DF2ACF">
        <w:rPr>
          <w:rFonts w:ascii="Arial" w:hAnsi="Arial" w:cs="Arial"/>
          <w:b/>
          <w:sz w:val="24"/>
          <w:szCs w:val="24"/>
        </w:rPr>
        <w:t xml:space="preserve"> </w:t>
      </w:r>
    </w:p>
    <w:p w:rsidR="00023091" w:rsidRPr="005B7496" w:rsidRDefault="00DF2ACF" w:rsidP="005B7496">
      <w:pPr>
        <w:pStyle w:val="ListParagraph"/>
        <w:numPr>
          <w:ilvl w:val="0"/>
          <w:numId w:val="15"/>
        </w:numPr>
        <w:rPr>
          <w:rFonts w:ascii="Arial" w:hAnsi="Arial" w:cs="Arial"/>
          <w:b/>
          <w:sz w:val="24"/>
          <w:szCs w:val="24"/>
        </w:rPr>
      </w:pPr>
      <w:r>
        <w:rPr>
          <w:rFonts w:ascii="Arial" w:hAnsi="Arial" w:cs="Arial"/>
          <w:b/>
          <w:sz w:val="24"/>
          <w:szCs w:val="24"/>
        </w:rPr>
        <w:t>THE RULES OF PROCEDURE FOR THE FIRST-TIER TRIBUNAL FOR SCOTLAND TAX CHAMBER</w:t>
      </w:r>
      <w:r w:rsidR="00300574">
        <w:rPr>
          <w:rFonts w:ascii="Arial" w:hAnsi="Arial" w:cs="Arial"/>
          <w:b/>
          <w:sz w:val="24"/>
          <w:szCs w:val="24"/>
        </w:rPr>
        <w:t xml:space="preserve"> </w:t>
      </w:r>
    </w:p>
    <w:p w:rsidR="00DF2ACF" w:rsidRPr="003B00FF" w:rsidRDefault="00300574" w:rsidP="003B00FF">
      <w:pPr>
        <w:pStyle w:val="ListParagraph"/>
        <w:numPr>
          <w:ilvl w:val="0"/>
          <w:numId w:val="15"/>
        </w:numPr>
        <w:rPr>
          <w:rFonts w:ascii="Arial" w:hAnsi="Arial" w:cs="Arial"/>
          <w:b/>
          <w:bCs/>
          <w:sz w:val="24"/>
          <w:szCs w:val="24"/>
        </w:rPr>
      </w:pPr>
      <w:r>
        <w:rPr>
          <w:rFonts w:ascii="Arial" w:hAnsi="Arial" w:cs="Arial"/>
          <w:b/>
          <w:bCs/>
          <w:sz w:val="24"/>
          <w:szCs w:val="24"/>
        </w:rPr>
        <w:t xml:space="preserve">THE COMPOSITION OF THE SCOTTISH TRIBUNALS WHEN HEARING </w:t>
      </w:r>
      <w:r w:rsidR="00B571D3">
        <w:rPr>
          <w:rFonts w:ascii="Arial" w:hAnsi="Arial" w:cs="Arial"/>
          <w:b/>
          <w:bCs/>
          <w:sz w:val="24"/>
          <w:szCs w:val="24"/>
        </w:rPr>
        <w:t>APPEALS AND REFERRALS IN AND FROM THE FIRST-TIER TRIBUNAL FOR SCOTLAND TAX CHAMBER</w:t>
      </w:r>
    </w:p>
    <w:p w:rsidR="00023091" w:rsidRPr="00454558" w:rsidRDefault="00023091" w:rsidP="00023091">
      <w:pPr>
        <w:rPr>
          <w:rFonts w:cs="Arial"/>
          <w:b/>
          <w:szCs w:val="24"/>
        </w:rPr>
      </w:pPr>
      <w:r w:rsidRPr="00454558">
        <w:rPr>
          <w:rFonts w:cs="Arial"/>
          <w:b/>
          <w:szCs w:val="24"/>
        </w:rPr>
        <w:t>Background</w:t>
      </w:r>
    </w:p>
    <w:p w:rsidR="00677F21" w:rsidRDefault="00677F21" w:rsidP="00677F21">
      <w:pPr>
        <w:pStyle w:val="ListParagraph"/>
        <w:numPr>
          <w:ilvl w:val="0"/>
          <w:numId w:val="12"/>
        </w:numPr>
        <w:rPr>
          <w:rFonts w:ascii="Arial" w:hAnsi="Arial" w:cs="Arial"/>
          <w:sz w:val="24"/>
          <w:szCs w:val="24"/>
        </w:rPr>
      </w:pPr>
      <w:r>
        <w:rPr>
          <w:rFonts w:ascii="Arial" w:hAnsi="Arial" w:cs="Arial"/>
          <w:sz w:val="24"/>
          <w:szCs w:val="24"/>
        </w:rPr>
        <w:t xml:space="preserve">The Scottish Government is in the process of implementing the Tribunals (Scotland) Act 2014 (the 2014 Act) which </w:t>
      </w:r>
      <w:r w:rsidR="00023091" w:rsidRPr="00677F21">
        <w:rPr>
          <w:rFonts w:ascii="Arial" w:hAnsi="Arial" w:cs="Arial"/>
          <w:sz w:val="24"/>
          <w:szCs w:val="24"/>
        </w:rPr>
        <w:t xml:space="preserve">creates a new, simplified statutory framework for tribunals in Scotland, bringing existing tribunal jurisdictions together and providing an organised structure for new jurisdictions. </w:t>
      </w:r>
    </w:p>
    <w:p w:rsidR="00677F21" w:rsidRDefault="00677F21" w:rsidP="00677F21">
      <w:pPr>
        <w:pStyle w:val="ListParagraph"/>
        <w:ind w:left="465"/>
        <w:rPr>
          <w:rFonts w:ascii="Arial" w:hAnsi="Arial" w:cs="Arial"/>
          <w:sz w:val="24"/>
          <w:szCs w:val="24"/>
        </w:rPr>
      </w:pPr>
    </w:p>
    <w:p w:rsidR="0056133A" w:rsidRDefault="00023091" w:rsidP="00677F21">
      <w:pPr>
        <w:pStyle w:val="ListParagraph"/>
        <w:numPr>
          <w:ilvl w:val="0"/>
          <w:numId w:val="12"/>
        </w:numPr>
        <w:rPr>
          <w:rFonts w:ascii="Arial" w:hAnsi="Arial" w:cs="Arial"/>
          <w:sz w:val="24"/>
          <w:szCs w:val="24"/>
        </w:rPr>
      </w:pPr>
      <w:r w:rsidRPr="00677F21">
        <w:rPr>
          <w:rFonts w:ascii="Arial" w:hAnsi="Arial" w:cs="Arial"/>
          <w:sz w:val="24"/>
          <w:szCs w:val="24"/>
        </w:rPr>
        <w:t xml:space="preserve">The </w:t>
      </w:r>
      <w:r w:rsidR="00677F21">
        <w:rPr>
          <w:rFonts w:ascii="Arial" w:hAnsi="Arial" w:cs="Arial"/>
          <w:sz w:val="24"/>
          <w:szCs w:val="24"/>
        </w:rPr>
        <w:t xml:space="preserve">2014 Act </w:t>
      </w:r>
      <w:r w:rsidRPr="00677F21">
        <w:rPr>
          <w:rFonts w:ascii="Arial" w:hAnsi="Arial" w:cs="Arial"/>
          <w:sz w:val="24"/>
          <w:szCs w:val="24"/>
        </w:rPr>
        <w:t>creates two tribunals, the First-tier Tribunal for Scotland</w:t>
      </w:r>
      <w:r w:rsidR="0056133A">
        <w:rPr>
          <w:rFonts w:ascii="Arial" w:hAnsi="Arial" w:cs="Arial"/>
          <w:sz w:val="24"/>
          <w:szCs w:val="24"/>
        </w:rPr>
        <w:t xml:space="preserve"> (First-tier Tribunal)</w:t>
      </w:r>
      <w:r w:rsidRPr="00677F21">
        <w:rPr>
          <w:rFonts w:ascii="Arial" w:hAnsi="Arial" w:cs="Arial"/>
          <w:sz w:val="24"/>
          <w:szCs w:val="24"/>
        </w:rPr>
        <w:t xml:space="preserve"> and the Upper Tribunal for Scotland</w:t>
      </w:r>
      <w:r w:rsidR="0056133A">
        <w:rPr>
          <w:rFonts w:ascii="Arial" w:hAnsi="Arial" w:cs="Arial"/>
          <w:sz w:val="24"/>
          <w:szCs w:val="24"/>
        </w:rPr>
        <w:t xml:space="preserve"> (Upper Tribunal)</w:t>
      </w:r>
      <w:r w:rsidRPr="00677F21">
        <w:rPr>
          <w:rFonts w:ascii="Arial" w:hAnsi="Arial" w:cs="Arial"/>
          <w:sz w:val="24"/>
          <w:szCs w:val="24"/>
        </w:rPr>
        <w:t>, known collectively as the Scottish Tribunals.</w:t>
      </w:r>
      <w:r w:rsidR="00677F21" w:rsidRPr="00677F21">
        <w:rPr>
          <w:rFonts w:ascii="Arial" w:hAnsi="Arial" w:cs="Arial"/>
          <w:sz w:val="24"/>
          <w:szCs w:val="24"/>
        </w:rPr>
        <w:t xml:space="preserve"> In due course all of the devolved tribunal jurisdictions will transfer</w:t>
      </w:r>
      <w:r w:rsidR="002E15A9">
        <w:rPr>
          <w:rFonts w:ascii="Arial" w:hAnsi="Arial" w:cs="Arial"/>
          <w:sz w:val="24"/>
          <w:szCs w:val="24"/>
        </w:rPr>
        <w:t>-</w:t>
      </w:r>
      <w:r w:rsidR="00677F21" w:rsidRPr="00677F21">
        <w:rPr>
          <w:rFonts w:ascii="Arial" w:hAnsi="Arial" w:cs="Arial"/>
          <w:sz w:val="24"/>
          <w:szCs w:val="24"/>
        </w:rPr>
        <w:t xml:space="preserve">in to the Scottish Tribunals. </w:t>
      </w:r>
      <w:r w:rsidR="00DF2ACF">
        <w:rPr>
          <w:rFonts w:ascii="Arial" w:hAnsi="Arial" w:cs="Arial"/>
          <w:sz w:val="24"/>
          <w:szCs w:val="24"/>
        </w:rPr>
        <w:t xml:space="preserve">The first tribunals </w:t>
      </w:r>
      <w:r w:rsidR="000F6C5E">
        <w:rPr>
          <w:rFonts w:ascii="Arial" w:hAnsi="Arial" w:cs="Arial"/>
          <w:sz w:val="24"/>
          <w:szCs w:val="24"/>
        </w:rPr>
        <w:t xml:space="preserve">(the private rented housing panel, the homeowner housing panel and their respective committees) </w:t>
      </w:r>
      <w:r w:rsidR="00DF2ACF">
        <w:rPr>
          <w:rFonts w:ascii="Arial" w:hAnsi="Arial" w:cs="Arial"/>
          <w:sz w:val="24"/>
          <w:szCs w:val="24"/>
        </w:rPr>
        <w:t xml:space="preserve">transferred into the Scottish Tribunals in December 2016. </w:t>
      </w:r>
    </w:p>
    <w:p w:rsidR="00932013" w:rsidRPr="00932013" w:rsidRDefault="00932013" w:rsidP="00932013">
      <w:pPr>
        <w:pStyle w:val="ListParagraph"/>
        <w:rPr>
          <w:rFonts w:ascii="Arial" w:hAnsi="Arial" w:cs="Arial"/>
          <w:sz w:val="24"/>
          <w:szCs w:val="24"/>
        </w:rPr>
      </w:pPr>
    </w:p>
    <w:p w:rsidR="00932013" w:rsidRDefault="00932013" w:rsidP="00932013">
      <w:pPr>
        <w:pStyle w:val="ListParagraph"/>
        <w:numPr>
          <w:ilvl w:val="0"/>
          <w:numId w:val="12"/>
        </w:numPr>
        <w:rPr>
          <w:rFonts w:ascii="Arial" w:hAnsi="Arial" w:cs="Arial"/>
          <w:sz w:val="24"/>
          <w:szCs w:val="24"/>
        </w:rPr>
      </w:pPr>
      <w:r>
        <w:rPr>
          <w:rFonts w:ascii="Arial" w:hAnsi="Arial" w:cs="Arial"/>
          <w:sz w:val="24"/>
          <w:szCs w:val="24"/>
        </w:rPr>
        <w:t xml:space="preserve">The First-tier Tax Tribunal for Scotland and the Upper Tax Tribunal for Scotland were established by the Revenue Scotland and Tax Powers Act 2014 and are known collectively as the Scottish Tax Tribunals. </w:t>
      </w:r>
      <w:r w:rsidRPr="00932013">
        <w:rPr>
          <w:rFonts w:ascii="Arial" w:hAnsi="Arial" w:cs="Arial"/>
          <w:sz w:val="24"/>
          <w:szCs w:val="24"/>
        </w:rPr>
        <w:t>The Scottish Tax Tribunals are due to transfer into the Scottish Tribunals in April 2017.</w:t>
      </w:r>
    </w:p>
    <w:p w:rsidR="00932013" w:rsidRPr="00932013" w:rsidRDefault="00932013" w:rsidP="00932013">
      <w:pPr>
        <w:pStyle w:val="ListParagraph"/>
        <w:rPr>
          <w:rFonts w:ascii="Arial" w:hAnsi="Arial" w:cs="Arial"/>
          <w:sz w:val="24"/>
          <w:szCs w:val="24"/>
        </w:rPr>
      </w:pPr>
    </w:p>
    <w:p w:rsidR="003B00FF" w:rsidRPr="003B00FF" w:rsidRDefault="00677F21" w:rsidP="003B00FF">
      <w:pPr>
        <w:pStyle w:val="ListParagraph"/>
        <w:numPr>
          <w:ilvl w:val="0"/>
          <w:numId w:val="12"/>
        </w:numPr>
        <w:rPr>
          <w:rFonts w:ascii="Arial" w:hAnsi="Arial" w:cs="Arial"/>
          <w:sz w:val="24"/>
          <w:szCs w:val="24"/>
        </w:rPr>
      </w:pPr>
      <w:r w:rsidRPr="00932013">
        <w:rPr>
          <w:rFonts w:ascii="Arial" w:hAnsi="Arial" w:cs="Arial"/>
          <w:sz w:val="24"/>
          <w:szCs w:val="24"/>
        </w:rPr>
        <w:t xml:space="preserve">The Scottish Government ran </w:t>
      </w:r>
      <w:r w:rsidR="005B7496" w:rsidRPr="00932013">
        <w:rPr>
          <w:rFonts w:ascii="Arial" w:hAnsi="Arial" w:cs="Arial"/>
          <w:sz w:val="24"/>
          <w:szCs w:val="24"/>
        </w:rPr>
        <w:t xml:space="preserve">a consultation between </w:t>
      </w:r>
      <w:r w:rsidR="00DF2ACF" w:rsidRPr="00932013">
        <w:rPr>
          <w:rFonts w:ascii="Arial" w:hAnsi="Arial" w:cs="Arial"/>
          <w:sz w:val="24"/>
          <w:szCs w:val="24"/>
        </w:rPr>
        <w:t xml:space="preserve">20 October </w:t>
      </w:r>
      <w:r w:rsidRPr="00932013">
        <w:rPr>
          <w:rFonts w:ascii="Arial" w:hAnsi="Arial" w:cs="Arial"/>
          <w:sz w:val="24"/>
          <w:szCs w:val="24"/>
        </w:rPr>
        <w:t xml:space="preserve">and </w:t>
      </w:r>
      <w:r w:rsidR="00DF2ACF" w:rsidRPr="00932013">
        <w:rPr>
          <w:rFonts w:ascii="Arial" w:hAnsi="Arial" w:cs="Arial"/>
          <w:sz w:val="24"/>
          <w:szCs w:val="24"/>
        </w:rPr>
        <w:t>4 December 2016</w:t>
      </w:r>
      <w:r w:rsidR="005B7496" w:rsidRPr="00932013">
        <w:rPr>
          <w:rFonts w:ascii="Arial" w:hAnsi="Arial" w:cs="Arial"/>
          <w:sz w:val="24"/>
          <w:szCs w:val="24"/>
        </w:rPr>
        <w:t xml:space="preserve"> on </w:t>
      </w:r>
      <w:r w:rsidR="007B4B22" w:rsidRPr="00932013">
        <w:rPr>
          <w:rFonts w:ascii="Arial" w:hAnsi="Arial" w:cs="Arial"/>
          <w:sz w:val="24"/>
          <w:szCs w:val="24"/>
        </w:rPr>
        <w:t xml:space="preserve">draft regulations covering </w:t>
      </w:r>
      <w:r w:rsidR="00300574" w:rsidRPr="00932013">
        <w:rPr>
          <w:rFonts w:ascii="Arial" w:hAnsi="Arial" w:cs="Arial"/>
          <w:sz w:val="24"/>
          <w:szCs w:val="24"/>
        </w:rPr>
        <w:t xml:space="preserve">the transfer of functions and members of the </w:t>
      </w:r>
      <w:r w:rsidR="00DF2ACF" w:rsidRPr="00932013">
        <w:rPr>
          <w:rFonts w:ascii="Arial" w:hAnsi="Arial" w:cs="Arial"/>
          <w:sz w:val="24"/>
          <w:szCs w:val="24"/>
        </w:rPr>
        <w:t xml:space="preserve">Scottish Tax Tribunals, </w:t>
      </w:r>
      <w:r w:rsidR="00300574" w:rsidRPr="00932013">
        <w:rPr>
          <w:rFonts w:ascii="Arial" w:hAnsi="Arial" w:cs="Arial"/>
          <w:sz w:val="24"/>
          <w:szCs w:val="24"/>
        </w:rPr>
        <w:t xml:space="preserve">composition of the First-tier Tribunal and Upper Tribunal when hearing cases to and from the </w:t>
      </w:r>
      <w:r w:rsidR="00DF2ACF" w:rsidRPr="00932013">
        <w:rPr>
          <w:rFonts w:ascii="Arial" w:hAnsi="Arial" w:cs="Arial"/>
          <w:sz w:val="24"/>
          <w:szCs w:val="24"/>
        </w:rPr>
        <w:t xml:space="preserve">Tax </w:t>
      </w:r>
      <w:r w:rsidR="00300574" w:rsidRPr="00932013">
        <w:rPr>
          <w:rFonts w:ascii="Arial" w:hAnsi="Arial" w:cs="Arial"/>
          <w:sz w:val="24"/>
          <w:szCs w:val="24"/>
        </w:rPr>
        <w:t>Cha</w:t>
      </w:r>
      <w:r w:rsidR="00DF2ACF" w:rsidRPr="00932013">
        <w:rPr>
          <w:rFonts w:ascii="Arial" w:hAnsi="Arial" w:cs="Arial"/>
          <w:sz w:val="24"/>
          <w:szCs w:val="24"/>
        </w:rPr>
        <w:t>mber of the Scottish Tribunals and the Rules of Procedure for the First-tier Tribunal Tax Chamber</w:t>
      </w:r>
      <w:r w:rsidR="000F6C5E">
        <w:rPr>
          <w:rStyle w:val="FootnoteReference"/>
          <w:rFonts w:ascii="Arial" w:hAnsi="Arial" w:cs="Arial"/>
          <w:sz w:val="24"/>
          <w:szCs w:val="24"/>
        </w:rPr>
        <w:footnoteReference w:id="1"/>
      </w:r>
      <w:r w:rsidR="00DF2ACF" w:rsidRPr="00932013">
        <w:rPr>
          <w:rFonts w:ascii="Arial" w:hAnsi="Arial" w:cs="Arial"/>
          <w:sz w:val="24"/>
          <w:szCs w:val="24"/>
        </w:rPr>
        <w:t xml:space="preserve">. </w:t>
      </w:r>
    </w:p>
    <w:p w:rsidR="0056133A" w:rsidRDefault="0056133A" w:rsidP="0056133A">
      <w:pPr>
        <w:rPr>
          <w:rFonts w:cs="Arial"/>
          <w:b/>
          <w:szCs w:val="24"/>
        </w:rPr>
      </w:pPr>
      <w:r>
        <w:rPr>
          <w:rFonts w:cs="Arial"/>
          <w:b/>
          <w:szCs w:val="24"/>
        </w:rPr>
        <w:t>Consultation responses</w:t>
      </w:r>
    </w:p>
    <w:p w:rsidR="00B52BDE" w:rsidRDefault="00F94218" w:rsidP="00B52BDE">
      <w:pPr>
        <w:pStyle w:val="ListParagraph"/>
        <w:numPr>
          <w:ilvl w:val="0"/>
          <w:numId w:val="12"/>
        </w:numPr>
        <w:rPr>
          <w:rFonts w:ascii="Arial" w:hAnsi="Arial" w:cs="Arial"/>
          <w:sz w:val="24"/>
          <w:szCs w:val="24"/>
        </w:rPr>
      </w:pPr>
      <w:r w:rsidRPr="00300574">
        <w:rPr>
          <w:rFonts w:ascii="Arial" w:hAnsi="Arial" w:cs="Arial"/>
          <w:sz w:val="24"/>
          <w:szCs w:val="24"/>
        </w:rPr>
        <w:t xml:space="preserve">There were </w:t>
      </w:r>
      <w:r w:rsidR="00932013">
        <w:rPr>
          <w:rFonts w:ascii="Arial" w:hAnsi="Arial" w:cs="Arial"/>
          <w:sz w:val="24"/>
          <w:szCs w:val="24"/>
        </w:rPr>
        <w:t>three</w:t>
      </w:r>
      <w:r w:rsidR="00DF2ACF">
        <w:rPr>
          <w:rFonts w:ascii="Arial" w:hAnsi="Arial" w:cs="Arial"/>
          <w:sz w:val="24"/>
          <w:szCs w:val="24"/>
        </w:rPr>
        <w:t xml:space="preserve"> responses to the consultation all of whom were organisations</w:t>
      </w:r>
      <w:r w:rsidRPr="00300574">
        <w:rPr>
          <w:rFonts w:ascii="Arial" w:hAnsi="Arial" w:cs="Arial"/>
          <w:sz w:val="24"/>
          <w:szCs w:val="24"/>
        </w:rPr>
        <w:t>.</w:t>
      </w:r>
      <w:r w:rsidR="000F6C5E">
        <w:rPr>
          <w:rStyle w:val="FootnoteReference"/>
          <w:rFonts w:ascii="Arial" w:hAnsi="Arial" w:cs="Arial"/>
          <w:sz w:val="24"/>
          <w:szCs w:val="24"/>
        </w:rPr>
        <w:footnoteReference w:id="2"/>
      </w:r>
      <w:r w:rsidR="00B52BDE" w:rsidRPr="00300574">
        <w:rPr>
          <w:rFonts w:ascii="Arial" w:hAnsi="Arial" w:cs="Arial"/>
          <w:sz w:val="24"/>
          <w:szCs w:val="24"/>
        </w:rPr>
        <w:t xml:space="preserve"> </w:t>
      </w:r>
      <w:r w:rsidR="00932013">
        <w:rPr>
          <w:rFonts w:ascii="Arial" w:hAnsi="Arial" w:cs="Arial"/>
          <w:sz w:val="24"/>
          <w:szCs w:val="24"/>
        </w:rPr>
        <w:t>The three organisations were:</w:t>
      </w:r>
    </w:p>
    <w:p w:rsidR="00932013" w:rsidRDefault="00932013" w:rsidP="00932013">
      <w:pPr>
        <w:pStyle w:val="ListParagraph"/>
        <w:ind w:left="465"/>
        <w:rPr>
          <w:rFonts w:ascii="Arial" w:hAnsi="Arial" w:cs="Arial"/>
          <w:sz w:val="24"/>
          <w:szCs w:val="24"/>
        </w:rPr>
      </w:pPr>
      <w:r>
        <w:rPr>
          <w:rFonts w:ascii="Arial" w:hAnsi="Arial" w:cs="Arial"/>
          <w:sz w:val="24"/>
          <w:szCs w:val="24"/>
        </w:rPr>
        <w:lastRenderedPageBreak/>
        <w:t>Chartered Institute of Taxation and Low Incomes Tax Reform Group</w:t>
      </w:r>
    </w:p>
    <w:p w:rsidR="00932013" w:rsidRDefault="00932013" w:rsidP="00932013">
      <w:pPr>
        <w:pStyle w:val="ListParagraph"/>
        <w:ind w:left="465"/>
        <w:rPr>
          <w:rFonts w:ascii="Arial" w:hAnsi="Arial" w:cs="Arial"/>
          <w:sz w:val="24"/>
          <w:szCs w:val="24"/>
        </w:rPr>
      </w:pPr>
      <w:r>
        <w:rPr>
          <w:rFonts w:ascii="Arial" w:hAnsi="Arial" w:cs="Arial"/>
          <w:sz w:val="24"/>
          <w:szCs w:val="24"/>
        </w:rPr>
        <w:t>Faculty of Advocates</w:t>
      </w:r>
    </w:p>
    <w:p w:rsidR="00932013" w:rsidRDefault="00932013" w:rsidP="00932013">
      <w:pPr>
        <w:pStyle w:val="ListParagraph"/>
        <w:ind w:left="465"/>
        <w:rPr>
          <w:rFonts w:ascii="Arial" w:hAnsi="Arial" w:cs="Arial"/>
          <w:sz w:val="24"/>
          <w:szCs w:val="24"/>
        </w:rPr>
      </w:pPr>
      <w:r>
        <w:rPr>
          <w:rFonts w:ascii="Arial" w:hAnsi="Arial" w:cs="Arial"/>
          <w:sz w:val="24"/>
          <w:szCs w:val="24"/>
        </w:rPr>
        <w:t>Institute of Chartered Accountants of Scotland</w:t>
      </w:r>
    </w:p>
    <w:p w:rsidR="00300574" w:rsidRPr="00300574" w:rsidRDefault="00300574" w:rsidP="00300574">
      <w:pPr>
        <w:pStyle w:val="ListParagraph"/>
        <w:ind w:left="465"/>
        <w:rPr>
          <w:rFonts w:ascii="Arial" w:hAnsi="Arial" w:cs="Arial"/>
          <w:sz w:val="24"/>
          <w:szCs w:val="24"/>
        </w:rPr>
      </w:pPr>
    </w:p>
    <w:p w:rsidR="00326BBC" w:rsidRPr="00932013" w:rsidRDefault="00B52BDE" w:rsidP="00326BBC">
      <w:pPr>
        <w:pStyle w:val="ListParagraph"/>
        <w:numPr>
          <w:ilvl w:val="0"/>
          <w:numId w:val="12"/>
        </w:numPr>
        <w:rPr>
          <w:rFonts w:ascii="Arial" w:hAnsi="Arial" w:cs="Arial"/>
          <w:sz w:val="24"/>
          <w:szCs w:val="24"/>
        </w:rPr>
      </w:pPr>
      <w:r w:rsidRPr="000F5120">
        <w:rPr>
          <w:rFonts w:ascii="Arial" w:hAnsi="Arial" w:cs="Arial"/>
          <w:sz w:val="24"/>
          <w:szCs w:val="24"/>
        </w:rPr>
        <w:t xml:space="preserve">Due to the small number of responses this analysis relies on consideration of </w:t>
      </w:r>
      <w:r w:rsidR="000F6C5E">
        <w:rPr>
          <w:rFonts w:ascii="Arial" w:hAnsi="Arial" w:cs="Arial"/>
          <w:sz w:val="24"/>
          <w:szCs w:val="24"/>
        </w:rPr>
        <w:t xml:space="preserve">the key points raised in the </w:t>
      </w:r>
      <w:r w:rsidRPr="000F5120">
        <w:rPr>
          <w:rFonts w:ascii="Arial" w:hAnsi="Arial" w:cs="Arial"/>
          <w:sz w:val="24"/>
          <w:szCs w:val="24"/>
        </w:rPr>
        <w:t>response</w:t>
      </w:r>
      <w:r w:rsidR="009B0341">
        <w:rPr>
          <w:rFonts w:ascii="Arial" w:hAnsi="Arial" w:cs="Arial"/>
          <w:sz w:val="24"/>
          <w:szCs w:val="24"/>
        </w:rPr>
        <w:t>s relating to each set of regulations</w:t>
      </w:r>
      <w:r w:rsidR="00B927FE">
        <w:rPr>
          <w:rFonts w:ascii="Arial" w:hAnsi="Arial" w:cs="Arial"/>
          <w:sz w:val="24"/>
          <w:szCs w:val="24"/>
        </w:rPr>
        <w:t xml:space="preserve"> </w:t>
      </w:r>
      <w:r w:rsidRPr="000F5120">
        <w:rPr>
          <w:rFonts w:ascii="Arial" w:hAnsi="Arial" w:cs="Arial"/>
          <w:sz w:val="24"/>
          <w:szCs w:val="24"/>
        </w:rPr>
        <w:t>rather than an in</w:t>
      </w:r>
      <w:r w:rsidR="002E15A9">
        <w:rPr>
          <w:rFonts w:ascii="Arial" w:hAnsi="Arial" w:cs="Arial"/>
          <w:sz w:val="24"/>
          <w:szCs w:val="24"/>
        </w:rPr>
        <w:t>-</w:t>
      </w:r>
      <w:r w:rsidRPr="000F5120">
        <w:rPr>
          <w:rFonts w:ascii="Arial" w:hAnsi="Arial" w:cs="Arial"/>
          <w:sz w:val="24"/>
          <w:szCs w:val="24"/>
        </w:rPr>
        <w:t xml:space="preserve">depth statistical analysis of the responses. </w:t>
      </w:r>
    </w:p>
    <w:p w:rsidR="000F5120" w:rsidRDefault="000F5120" w:rsidP="000F5120">
      <w:pPr>
        <w:pStyle w:val="ListParagraph"/>
        <w:ind w:left="465"/>
        <w:rPr>
          <w:rFonts w:ascii="Arial" w:hAnsi="Arial" w:cs="Arial"/>
          <w:sz w:val="24"/>
          <w:szCs w:val="24"/>
        </w:rPr>
      </w:pPr>
    </w:p>
    <w:p w:rsidR="000F5120" w:rsidRPr="003B00FF" w:rsidRDefault="000F5120" w:rsidP="003B00FF">
      <w:pPr>
        <w:rPr>
          <w:rFonts w:cs="Arial"/>
          <w:b/>
          <w:szCs w:val="24"/>
        </w:rPr>
      </w:pPr>
      <w:r w:rsidRPr="003B00FF">
        <w:rPr>
          <w:rFonts w:cs="Arial"/>
          <w:b/>
          <w:szCs w:val="24"/>
        </w:rPr>
        <w:t xml:space="preserve">Analysis of responses </w:t>
      </w:r>
    </w:p>
    <w:p w:rsidR="000F5120" w:rsidRDefault="000F5120" w:rsidP="000F5120">
      <w:pPr>
        <w:pStyle w:val="ListParagraph"/>
        <w:ind w:left="465"/>
        <w:rPr>
          <w:rFonts w:ascii="Arial" w:hAnsi="Arial" w:cs="Arial"/>
          <w:b/>
          <w:sz w:val="24"/>
          <w:szCs w:val="24"/>
        </w:rPr>
      </w:pPr>
    </w:p>
    <w:p w:rsidR="00F76C88" w:rsidRDefault="003B5D4D" w:rsidP="000F6C5E">
      <w:pPr>
        <w:pStyle w:val="ListParagraph"/>
        <w:ind w:left="465"/>
        <w:rPr>
          <w:rFonts w:ascii="Arial" w:hAnsi="Arial" w:cs="Arial"/>
          <w:sz w:val="24"/>
          <w:szCs w:val="24"/>
          <w:u w:val="single"/>
        </w:rPr>
      </w:pPr>
      <w:r>
        <w:rPr>
          <w:rFonts w:ascii="Arial" w:hAnsi="Arial" w:cs="Arial"/>
          <w:sz w:val="24"/>
          <w:szCs w:val="24"/>
          <w:u w:val="single"/>
        </w:rPr>
        <w:t xml:space="preserve">Transfer of functions and members of </w:t>
      </w:r>
      <w:r w:rsidR="00F76C88">
        <w:rPr>
          <w:rFonts w:ascii="Arial" w:hAnsi="Arial" w:cs="Arial"/>
          <w:sz w:val="24"/>
          <w:szCs w:val="24"/>
          <w:u w:val="single"/>
        </w:rPr>
        <w:t xml:space="preserve">Scottish Tax Tribunals </w:t>
      </w:r>
    </w:p>
    <w:p w:rsidR="000F6C5E" w:rsidRPr="000F6C5E" w:rsidRDefault="000F6C5E" w:rsidP="000F6C5E">
      <w:pPr>
        <w:pStyle w:val="ListParagraph"/>
        <w:ind w:left="465"/>
        <w:rPr>
          <w:rFonts w:ascii="Arial" w:hAnsi="Arial" w:cs="Arial"/>
          <w:sz w:val="24"/>
          <w:szCs w:val="24"/>
          <w:u w:val="single"/>
        </w:rPr>
      </w:pPr>
    </w:p>
    <w:p w:rsidR="002536F9" w:rsidRPr="002536F9" w:rsidRDefault="00F76C88" w:rsidP="002536F9">
      <w:pPr>
        <w:pStyle w:val="ListParagraph"/>
        <w:numPr>
          <w:ilvl w:val="0"/>
          <w:numId w:val="12"/>
        </w:numPr>
        <w:rPr>
          <w:rFonts w:ascii="Arial" w:hAnsi="Arial" w:cs="Arial"/>
          <w:sz w:val="24"/>
          <w:szCs w:val="24"/>
          <w:u w:val="single"/>
        </w:rPr>
      </w:pPr>
      <w:r>
        <w:rPr>
          <w:rFonts w:ascii="Arial" w:hAnsi="Arial" w:cs="Arial"/>
          <w:sz w:val="24"/>
          <w:szCs w:val="24"/>
        </w:rPr>
        <w:t>One organisation s</w:t>
      </w:r>
      <w:r w:rsidR="008B6970">
        <w:rPr>
          <w:rFonts w:ascii="Arial" w:hAnsi="Arial" w:cs="Arial"/>
          <w:sz w:val="24"/>
          <w:szCs w:val="24"/>
        </w:rPr>
        <w:t>ought</w:t>
      </w:r>
      <w:r>
        <w:rPr>
          <w:rFonts w:ascii="Arial" w:hAnsi="Arial" w:cs="Arial"/>
          <w:sz w:val="24"/>
          <w:szCs w:val="24"/>
        </w:rPr>
        <w:t xml:space="preserve"> clarification </w:t>
      </w:r>
      <w:r w:rsidR="008B6970">
        <w:rPr>
          <w:rFonts w:ascii="Arial" w:hAnsi="Arial" w:cs="Arial"/>
          <w:sz w:val="24"/>
          <w:szCs w:val="24"/>
        </w:rPr>
        <w:t>on whether members have to consent to new term</w:t>
      </w:r>
      <w:r w:rsidR="00BF4CE2">
        <w:rPr>
          <w:rFonts w:ascii="Arial" w:hAnsi="Arial" w:cs="Arial"/>
          <w:sz w:val="24"/>
          <w:szCs w:val="24"/>
        </w:rPr>
        <w:t xml:space="preserve">s of appointment being offered. </w:t>
      </w:r>
      <w:r w:rsidR="002536F9" w:rsidRPr="002536F9">
        <w:rPr>
          <w:rFonts w:ascii="Arial" w:hAnsi="Arial" w:cs="Arial"/>
          <w:sz w:val="24"/>
          <w:szCs w:val="24"/>
        </w:rPr>
        <w:t>The Scottish Government’s interpretation of these provisions is that it is implicit that if members do not accept the offer of terms and conditions they do not transfer in.</w:t>
      </w:r>
      <w:r w:rsidR="002536F9">
        <w:rPr>
          <w:rFonts w:ascii="Arial" w:hAnsi="Arial" w:cs="Arial"/>
          <w:b/>
          <w:sz w:val="24"/>
          <w:szCs w:val="24"/>
        </w:rPr>
        <w:t xml:space="preserve"> </w:t>
      </w:r>
    </w:p>
    <w:p w:rsidR="002536F9" w:rsidRDefault="002536F9" w:rsidP="002536F9">
      <w:pPr>
        <w:pStyle w:val="ListParagraph"/>
        <w:ind w:left="465"/>
        <w:rPr>
          <w:rFonts w:ascii="Arial" w:hAnsi="Arial" w:cs="Arial"/>
          <w:b/>
          <w:sz w:val="24"/>
          <w:szCs w:val="24"/>
        </w:rPr>
      </w:pPr>
    </w:p>
    <w:p w:rsidR="008C536F" w:rsidRDefault="008C536F" w:rsidP="002536F9">
      <w:pPr>
        <w:pStyle w:val="ListParagraph"/>
        <w:ind w:left="465"/>
        <w:rPr>
          <w:rFonts w:ascii="Arial" w:hAnsi="Arial" w:cs="Arial"/>
          <w:sz w:val="24"/>
          <w:szCs w:val="24"/>
          <w:u w:val="single"/>
        </w:rPr>
      </w:pPr>
      <w:r>
        <w:rPr>
          <w:rFonts w:ascii="Arial" w:hAnsi="Arial" w:cs="Arial"/>
          <w:sz w:val="24"/>
          <w:szCs w:val="24"/>
          <w:u w:val="single"/>
        </w:rPr>
        <w:t xml:space="preserve">Ancillary Provisions </w:t>
      </w:r>
    </w:p>
    <w:p w:rsidR="008C536F" w:rsidRPr="008C536F" w:rsidRDefault="008C536F" w:rsidP="008C536F">
      <w:pPr>
        <w:pStyle w:val="ListParagraph"/>
        <w:ind w:left="465"/>
        <w:rPr>
          <w:rFonts w:ascii="Arial" w:hAnsi="Arial" w:cs="Arial"/>
          <w:sz w:val="28"/>
          <w:szCs w:val="24"/>
          <w:u w:val="single"/>
        </w:rPr>
      </w:pPr>
    </w:p>
    <w:p w:rsidR="008C536F" w:rsidRPr="008C536F" w:rsidRDefault="008C536F" w:rsidP="008C536F">
      <w:pPr>
        <w:pStyle w:val="ListParagraph"/>
        <w:numPr>
          <w:ilvl w:val="0"/>
          <w:numId w:val="12"/>
        </w:numPr>
        <w:rPr>
          <w:rFonts w:ascii="Arial" w:hAnsi="Arial" w:cs="Arial"/>
          <w:sz w:val="24"/>
          <w:szCs w:val="24"/>
        </w:rPr>
      </w:pPr>
      <w:r w:rsidRPr="008C536F">
        <w:rPr>
          <w:rFonts w:ascii="Arial" w:hAnsi="Arial" w:cs="Arial"/>
          <w:sz w:val="24"/>
          <w:szCs w:val="24"/>
        </w:rPr>
        <w:t xml:space="preserve">There were no comments on the draft regulations that repeal part 4 and schedule 2 of the Revenue Scotland and Tax Powers Act 2014. </w:t>
      </w:r>
    </w:p>
    <w:p w:rsidR="00F14485" w:rsidRDefault="00F14485" w:rsidP="00F14485">
      <w:pPr>
        <w:pStyle w:val="ListParagraph"/>
        <w:ind w:left="465"/>
        <w:rPr>
          <w:rFonts w:ascii="Arial" w:hAnsi="Arial" w:cs="Arial"/>
          <w:sz w:val="24"/>
          <w:szCs w:val="24"/>
        </w:rPr>
      </w:pPr>
    </w:p>
    <w:p w:rsidR="00F2119B" w:rsidRPr="000F6C5E" w:rsidRDefault="00F2119B" w:rsidP="000F6C5E">
      <w:pPr>
        <w:pStyle w:val="ListParagraph"/>
        <w:ind w:left="465"/>
        <w:rPr>
          <w:rFonts w:ascii="Arial" w:hAnsi="Arial" w:cs="Arial"/>
          <w:sz w:val="24"/>
          <w:szCs w:val="24"/>
          <w:u w:val="single"/>
        </w:rPr>
      </w:pPr>
      <w:r>
        <w:rPr>
          <w:rFonts w:ascii="Arial" w:hAnsi="Arial" w:cs="Arial"/>
          <w:sz w:val="24"/>
          <w:szCs w:val="24"/>
          <w:u w:val="single"/>
        </w:rPr>
        <w:t>First-tier Tribunal Tax Chamber Rules of Procedure</w:t>
      </w:r>
    </w:p>
    <w:p w:rsidR="000F6C5E" w:rsidRDefault="000F6C5E" w:rsidP="000F6C5E">
      <w:pPr>
        <w:pStyle w:val="ListParagraph"/>
        <w:ind w:left="465"/>
        <w:rPr>
          <w:rFonts w:ascii="Arial" w:hAnsi="Arial" w:cs="Arial"/>
          <w:sz w:val="24"/>
          <w:szCs w:val="24"/>
        </w:rPr>
      </w:pPr>
    </w:p>
    <w:p w:rsidR="00F2119B" w:rsidRPr="004A68FE" w:rsidRDefault="00F2119B" w:rsidP="00F2119B">
      <w:pPr>
        <w:pStyle w:val="ListParagraph"/>
        <w:numPr>
          <w:ilvl w:val="0"/>
          <w:numId w:val="12"/>
        </w:numPr>
        <w:rPr>
          <w:rFonts w:ascii="Arial" w:hAnsi="Arial" w:cs="Arial"/>
          <w:sz w:val="24"/>
          <w:szCs w:val="24"/>
        </w:rPr>
      </w:pPr>
      <w:r w:rsidRPr="004A68FE">
        <w:rPr>
          <w:rFonts w:ascii="Arial" w:hAnsi="Arial" w:cs="Arial"/>
          <w:sz w:val="24"/>
          <w:szCs w:val="24"/>
        </w:rPr>
        <w:t xml:space="preserve">One respondent commented that the </w:t>
      </w:r>
      <w:r w:rsidR="00932013">
        <w:rPr>
          <w:rFonts w:ascii="Arial" w:hAnsi="Arial" w:cs="Arial"/>
          <w:sz w:val="24"/>
          <w:szCs w:val="24"/>
        </w:rPr>
        <w:t xml:space="preserve">power to delegate to staff </w:t>
      </w:r>
      <w:r w:rsidRPr="004A68FE">
        <w:rPr>
          <w:rFonts w:ascii="Arial" w:hAnsi="Arial" w:cs="Arial"/>
          <w:sz w:val="24"/>
          <w:szCs w:val="24"/>
        </w:rPr>
        <w:t>should be limited to case managem</w:t>
      </w:r>
      <w:r w:rsidR="00932013">
        <w:rPr>
          <w:rFonts w:ascii="Arial" w:hAnsi="Arial" w:cs="Arial"/>
          <w:sz w:val="24"/>
          <w:szCs w:val="24"/>
        </w:rPr>
        <w:t xml:space="preserve">ent decisions. This regulation </w:t>
      </w:r>
      <w:r w:rsidRPr="004A68FE">
        <w:rPr>
          <w:rFonts w:ascii="Arial" w:hAnsi="Arial" w:cs="Arial"/>
          <w:sz w:val="24"/>
          <w:szCs w:val="24"/>
        </w:rPr>
        <w:t>give</w:t>
      </w:r>
      <w:r w:rsidR="00932013">
        <w:rPr>
          <w:rFonts w:ascii="Arial" w:hAnsi="Arial" w:cs="Arial"/>
          <w:sz w:val="24"/>
          <w:szCs w:val="24"/>
        </w:rPr>
        <w:t>s</w:t>
      </w:r>
      <w:r w:rsidRPr="004A68FE">
        <w:rPr>
          <w:rFonts w:ascii="Arial" w:hAnsi="Arial" w:cs="Arial"/>
          <w:sz w:val="24"/>
          <w:szCs w:val="24"/>
        </w:rPr>
        <w:t xml:space="preserve"> the First-tier Tribunal Chamber President flexibility to use S</w:t>
      </w:r>
      <w:r w:rsidR="00E51D35">
        <w:rPr>
          <w:rFonts w:ascii="Arial" w:hAnsi="Arial" w:cs="Arial"/>
          <w:sz w:val="24"/>
          <w:szCs w:val="24"/>
        </w:rPr>
        <w:t>cottish Courts and Tribunals</w:t>
      </w:r>
      <w:r w:rsidRPr="004A68FE">
        <w:rPr>
          <w:rFonts w:ascii="Arial" w:hAnsi="Arial" w:cs="Arial"/>
          <w:sz w:val="24"/>
          <w:szCs w:val="24"/>
        </w:rPr>
        <w:t xml:space="preserve"> staff if required. Therefore, to maintain this flexibility we propose to retain the text of the regulation. </w:t>
      </w:r>
    </w:p>
    <w:p w:rsidR="00F2119B" w:rsidRPr="004A68FE" w:rsidRDefault="00F2119B" w:rsidP="00F2119B">
      <w:pPr>
        <w:pStyle w:val="ListParagraph"/>
        <w:rPr>
          <w:rFonts w:ascii="Arial" w:hAnsi="Arial" w:cs="Arial"/>
          <w:sz w:val="24"/>
          <w:szCs w:val="24"/>
        </w:rPr>
      </w:pPr>
    </w:p>
    <w:p w:rsidR="009905DC" w:rsidRPr="004A68FE" w:rsidRDefault="00F2119B" w:rsidP="0075046E">
      <w:pPr>
        <w:pStyle w:val="ListParagraph"/>
        <w:numPr>
          <w:ilvl w:val="0"/>
          <w:numId w:val="12"/>
        </w:numPr>
        <w:rPr>
          <w:rFonts w:ascii="Arial" w:hAnsi="Arial" w:cs="Arial"/>
          <w:sz w:val="24"/>
          <w:szCs w:val="24"/>
        </w:rPr>
      </w:pPr>
      <w:r w:rsidRPr="004A68FE">
        <w:rPr>
          <w:rFonts w:ascii="Arial" w:hAnsi="Arial" w:cs="Arial"/>
          <w:sz w:val="24"/>
          <w:szCs w:val="24"/>
        </w:rPr>
        <w:t>One respondent suggested that the</w:t>
      </w:r>
      <w:r w:rsidR="00932013">
        <w:rPr>
          <w:rFonts w:ascii="Arial" w:hAnsi="Arial" w:cs="Arial"/>
          <w:sz w:val="24"/>
          <w:szCs w:val="24"/>
        </w:rPr>
        <w:t xml:space="preserve"> First-tier</w:t>
      </w:r>
      <w:r w:rsidRPr="004A68FE">
        <w:rPr>
          <w:rFonts w:ascii="Arial" w:hAnsi="Arial" w:cs="Arial"/>
          <w:sz w:val="24"/>
          <w:szCs w:val="24"/>
        </w:rPr>
        <w:t xml:space="preserve"> Tribunal should take into account the circumstances of the party when considering the reasons for failing to comply with rules. </w:t>
      </w:r>
      <w:r w:rsidR="009905DC" w:rsidRPr="004A68FE">
        <w:rPr>
          <w:rFonts w:ascii="Arial" w:hAnsi="Arial" w:cs="Arial"/>
          <w:sz w:val="24"/>
          <w:szCs w:val="24"/>
        </w:rPr>
        <w:t>This rule does not force the First-tier Tribunal to take action and we consider that by specifying that the First-tier Tribunal may take such action as it considers just this would include taking into account</w:t>
      </w:r>
      <w:r w:rsidR="0075046E" w:rsidRPr="004A68FE">
        <w:rPr>
          <w:rFonts w:ascii="Arial" w:hAnsi="Arial" w:cs="Arial"/>
          <w:sz w:val="24"/>
          <w:szCs w:val="24"/>
        </w:rPr>
        <w:t xml:space="preserve"> the circumstances of the party. One respondent noted that the action </w:t>
      </w:r>
      <w:r w:rsidR="00932013">
        <w:rPr>
          <w:rFonts w:ascii="Arial" w:hAnsi="Arial" w:cs="Arial"/>
          <w:sz w:val="24"/>
          <w:szCs w:val="24"/>
        </w:rPr>
        <w:t xml:space="preserve">for failing to comply with rules </w:t>
      </w:r>
      <w:r w:rsidR="0075046E" w:rsidRPr="004A68FE">
        <w:rPr>
          <w:rFonts w:ascii="Arial" w:hAnsi="Arial" w:cs="Arial"/>
          <w:sz w:val="24"/>
          <w:szCs w:val="24"/>
        </w:rPr>
        <w:t>of restricting a party’s participation in proceedings was removed from the draft regulations. This was done to ensure consistency with the Upper Tribunal Rules of Procedure. The First-tier Tribunal will</w:t>
      </w:r>
      <w:r w:rsidR="00932013">
        <w:rPr>
          <w:rFonts w:ascii="Arial" w:hAnsi="Arial" w:cs="Arial"/>
          <w:sz w:val="24"/>
          <w:szCs w:val="24"/>
        </w:rPr>
        <w:t xml:space="preserve"> still</w:t>
      </w:r>
      <w:r w:rsidR="0075046E" w:rsidRPr="004A68FE">
        <w:rPr>
          <w:rFonts w:ascii="Arial" w:hAnsi="Arial" w:cs="Arial"/>
          <w:sz w:val="24"/>
          <w:szCs w:val="24"/>
        </w:rPr>
        <w:t xml:space="preserve"> be able to exclude a person who is disrupting proceedings. </w:t>
      </w:r>
    </w:p>
    <w:p w:rsidR="0075046E" w:rsidRPr="004A68FE" w:rsidRDefault="0075046E" w:rsidP="0075046E">
      <w:pPr>
        <w:pStyle w:val="ListParagraph"/>
        <w:rPr>
          <w:rFonts w:ascii="Arial" w:hAnsi="Arial" w:cs="Arial"/>
          <w:sz w:val="24"/>
          <w:szCs w:val="24"/>
        </w:rPr>
      </w:pPr>
    </w:p>
    <w:p w:rsidR="0075046E" w:rsidRPr="004A68FE" w:rsidRDefault="0075046E" w:rsidP="0075046E">
      <w:pPr>
        <w:pStyle w:val="ListParagraph"/>
        <w:numPr>
          <w:ilvl w:val="0"/>
          <w:numId w:val="12"/>
        </w:numPr>
        <w:rPr>
          <w:rFonts w:ascii="Arial" w:hAnsi="Arial" w:cs="Arial"/>
          <w:sz w:val="24"/>
          <w:szCs w:val="24"/>
        </w:rPr>
      </w:pPr>
      <w:r w:rsidRPr="004A68FE">
        <w:rPr>
          <w:rFonts w:ascii="Arial" w:hAnsi="Arial" w:cs="Arial"/>
          <w:sz w:val="24"/>
          <w:szCs w:val="24"/>
        </w:rPr>
        <w:lastRenderedPageBreak/>
        <w:t xml:space="preserve">One respondent questioned why the current sub paragraphs (8) and (9) of the rule relating to the dismissal of a party’s case were omitted. </w:t>
      </w:r>
      <w:r w:rsidR="00932013">
        <w:rPr>
          <w:rFonts w:ascii="Arial" w:hAnsi="Arial" w:cs="Arial"/>
          <w:sz w:val="24"/>
          <w:szCs w:val="24"/>
        </w:rPr>
        <w:t>These paragraphs allowed the First-tier Tribunal to bar a respondent from further participating in hearings and set out the procedure for parties who wished to have a case reinstated. These provisions were removed</w:t>
      </w:r>
      <w:r w:rsidRPr="004A68FE">
        <w:rPr>
          <w:rFonts w:ascii="Arial" w:hAnsi="Arial" w:cs="Arial"/>
          <w:sz w:val="24"/>
          <w:szCs w:val="24"/>
        </w:rPr>
        <w:t xml:space="preserve"> to ensure consistency with the Upp</w:t>
      </w:r>
      <w:r w:rsidR="00932013">
        <w:rPr>
          <w:rFonts w:ascii="Arial" w:hAnsi="Arial" w:cs="Arial"/>
          <w:sz w:val="24"/>
          <w:szCs w:val="24"/>
        </w:rPr>
        <w:t xml:space="preserve">er Tribunal Rules of Procedure and in other tribunals in Scotland. </w:t>
      </w:r>
    </w:p>
    <w:p w:rsidR="0075046E" w:rsidRPr="004A68FE" w:rsidRDefault="0075046E" w:rsidP="0075046E">
      <w:pPr>
        <w:pStyle w:val="ListParagraph"/>
        <w:rPr>
          <w:rFonts w:ascii="Arial" w:hAnsi="Arial" w:cs="Arial"/>
          <w:sz w:val="24"/>
          <w:szCs w:val="24"/>
        </w:rPr>
      </w:pPr>
    </w:p>
    <w:p w:rsidR="0075046E" w:rsidRPr="004A68FE" w:rsidRDefault="0075046E" w:rsidP="0075046E">
      <w:pPr>
        <w:pStyle w:val="ListParagraph"/>
        <w:numPr>
          <w:ilvl w:val="0"/>
          <w:numId w:val="12"/>
        </w:numPr>
        <w:rPr>
          <w:rFonts w:ascii="Arial" w:hAnsi="Arial" w:cs="Arial"/>
          <w:sz w:val="24"/>
          <w:szCs w:val="24"/>
        </w:rPr>
      </w:pPr>
      <w:r w:rsidRPr="004A68FE">
        <w:rPr>
          <w:rFonts w:ascii="Arial" w:hAnsi="Arial" w:cs="Arial"/>
          <w:sz w:val="24"/>
          <w:szCs w:val="24"/>
        </w:rPr>
        <w:t xml:space="preserve">Two organisations commented on the expenses provision as this has been significantly amended. The policy intention is for the First-tier Tribunal to only be able to award expenses if a party’s act, omission or other conduct has caused the other party to incur an expense that it would be unreasonable for them to pay. </w:t>
      </w:r>
    </w:p>
    <w:p w:rsidR="0075046E" w:rsidRPr="004A68FE" w:rsidRDefault="0075046E" w:rsidP="0075046E">
      <w:pPr>
        <w:pStyle w:val="ListParagraph"/>
        <w:rPr>
          <w:rFonts w:ascii="Arial" w:hAnsi="Arial" w:cs="Arial"/>
          <w:sz w:val="24"/>
          <w:szCs w:val="24"/>
        </w:rPr>
      </w:pPr>
    </w:p>
    <w:p w:rsidR="003B00FF" w:rsidRDefault="0075046E" w:rsidP="003B00FF">
      <w:pPr>
        <w:pStyle w:val="ListParagraph"/>
        <w:numPr>
          <w:ilvl w:val="0"/>
          <w:numId w:val="12"/>
        </w:numPr>
        <w:rPr>
          <w:rFonts w:ascii="Arial" w:hAnsi="Arial" w:cs="Arial"/>
          <w:sz w:val="24"/>
          <w:szCs w:val="24"/>
        </w:rPr>
      </w:pPr>
      <w:r w:rsidRPr="004A68FE">
        <w:rPr>
          <w:rFonts w:ascii="Arial" w:hAnsi="Arial" w:cs="Arial"/>
          <w:sz w:val="24"/>
          <w:szCs w:val="24"/>
        </w:rPr>
        <w:t xml:space="preserve">Two organisations made suggestions on the regulation regarding sending and delivery of documents. </w:t>
      </w:r>
      <w:r w:rsidR="00932013">
        <w:rPr>
          <w:rFonts w:ascii="Arial" w:hAnsi="Arial" w:cs="Arial"/>
          <w:sz w:val="24"/>
          <w:szCs w:val="24"/>
        </w:rPr>
        <w:t xml:space="preserve">One organisation suggested that the First-tier Tribunal should expressly permit documents to be sent by email. </w:t>
      </w:r>
      <w:r w:rsidR="00631FCD" w:rsidRPr="00932013">
        <w:rPr>
          <w:rFonts w:ascii="Arial" w:hAnsi="Arial" w:cs="Arial"/>
          <w:sz w:val="24"/>
          <w:szCs w:val="24"/>
        </w:rPr>
        <w:t xml:space="preserve">The First-tier Tribunal may direct that documents should be delivered by email </w:t>
      </w:r>
      <w:r w:rsidR="00932013">
        <w:rPr>
          <w:rFonts w:ascii="Arial" w:hAnsi="Arial" w:cs="Arial"/>
          <w:sz w:val="24"/>
          <w:szCs w:val="24"/>
        </w:rPr>
        <w:t xml:space="preserve">which gives the tribunal the flexibility to direct documents be sent by email if this is the most appropriate format in the case in question.  Another organisation suggested that the option for parties to indicate a communication method they do not wish to be used should be highlighted to parties. This will be done in guidance on applying to the First-tier Tribunal. </w:t>
      </w:r>
    </w:p>
    <w:p w:rsidR="003B00FF" w:rsidRPr="003B00FF" w:rsidRDefault="003B00FF" w:rsidP="003B00FF">
      <w:pPr>
        <w:pStyle w:val="ListParagraph"/>
        <w:rPr>
          <w:rFonts w:ascii="Arial" w:hAnsi="Arial" w:cs="Arial"/>
          <w:sz w:val="24"/>
          <w:szCs w:val="24"/>
        </w:rPr>
      </w:pPr>
    </w:p>
    <w:p w:rsidR="00F2119B" w:rsidRPr="003B00FF" w:rsidRDefault="004A68FE" w:rsidP="003B00FF">
      <w:pPr>
        <w:pStyle w:val="ListParagraph"/>
        <w:numPr>
          <w:ilvl w:val="0"/>
          <w:numId w:val="12"/>
        </w:numPr>
        <w:rPr>
          <w:rFonts w:ascii="Arial" w:hAnsi="Arial" w:cs="Arial"/>
          <w:sz w:val="24"/>
          <w:szCs w:val="24"/>
        </w:rPr>
      </w:pPr>
      <w:r w:rsidRPr="003B00FF">
        <w:rPr>
          <w:rFonts w:ascii="Arial" w:hAnsi="Arial" w:cs="Arial"/>
          <w:sz w:val="24"/>
          <w:szCs w:val="24"/>
        </w:rPr>
        <w:t>There were a number of comments regarding the allocation of cases to categories. These regulations are aiming to replicate existing Scottish Tax Tribunal procedure and these suggestions would require a change in policy. We therefore</w:t>
      </w:r>
      <w:r w:rsidR="00932013" w:rsidRPr="003B00FF">
        <w:rPr>
          <w:rFonts w:ascii="Arial" w:hAnsi="Arial" w:cs="Arial"/>
          <w:sz w:val="24"/>
          <w:szCs w:val="24"/>
        </w:rPr>
        <w:t xml:space="preserve"> propose to retain</w:t>
      </w:r>
      <w:r w:rsidRPr="003B00FF">
        <w:rPr>
          <w:rFonts w:ascii="Arial" w:hAnsi="Arial" w:cs="Arial"/>
          <w:sz w:val="24"/>
          <w:szCs w:val="24"/>
        </w:rPr>
        <w:t xml:space="preserve"> the existing rules regarding allocation of cases to categories. </w:t>
      </w:r>
    </w:p>
    <w:p w:rsidR="004A68FE" w:rsidRPr="00220DFF" w:rsidRDefault="004A68FE" w:rsidP="004A68FE">
      <w:pPr>
        <w:pStyle w:val="ListParagraph"/>
        <w:rPr>
          <w:rFonts w:ascii="Arial" w:hAnsi="Arial" w:cs="Arial"/>
          <w:sz w:val="24"/>
          <w:szCs w:val="24"/>
        </w:rPr>
      </w:pPr>
    </w:p>
    <w:p w:rsidR="004A68FE" w:rsidRPr="00220DFF" w:rsidRDefault="004A68FE" w:rsidP="004A68FE">
      <w:pPr>
        <w:pStyle w:val="ListParagraph"/>
        <w:numPr>
          <w:ilvl w:val="0"/>
          <w:numId w:val="12"/>
        </w:numPr>
        <w:rPr>
          <w:rFonts w:ascii="Arial" w:hAnsi="Arial" w:cs="Arial"/>
          <w:sz w:val="24"/>
          <w:szCs w:val="24"/>
        </w:rPr>
      </w:pPr>
      <w:r w:rsidRPr="00220DFF">
        <w:rPr>
          <w:rFonts w:ascii="Arial" w:hAnsi="Arial" w:cs="Arial"/>
          <w:sz w:val="24"/>
          <w:szCs w:val="24"/>
        </w:rPr>
        <w:t>There were a few comments regarding time limits.</w:t>
      </w:r>
      <w:r w:rsidR="008C536F">
        <w:rPr>
          <w:rFonts w:ascii="Arial" w:hAnsi="Arial" w:cs="Arial"/>
          <w:sz w:val="24"/>
          <w:szCs w:val="24"/>
        </w:rPr>
        <w:t xml:space="preserve"> One organisation wished the time limit for seek</w:t>
      </w:r>
      <w:r w:rsidR="00EC62D0">
        <w:rPr>
          <w:rFonts w:ascii="Arial" w:hAnsi="Arial" w:cs="Arial"/>
          <w:sz w:val="24"/>
          <w:szCs w:val="24"/>
        </w:rPr>
        <w:t xml:space="preserve">ing permission to appeal to be extended to </w:t>
      </w:r>
      <w:r w:rsidR="008C536F">
        <w:rPr>
          <w:rFonts w:ascii="Arial" w:hAnsi="Arial" w:cs="Arial"/>
          <w:sz w:val="24"/>
          <w:szCs w:val="24"/>
        </w:rPr>
        <w:t>54 days.</w:t>
      </w:r>
      <w:r w:rsidRPr="00220DFF">
        <w:rPr>
          <w:rFonts w:ascii="Arial" w:hAnsi="Arial" w:cs="Arial"/>
          <w:sz w:val="24"/>
          <w:szCs w:val="24"/>
        </w:rPr>
        <w:t xml:space="preserve"> We propose to maintain the 30 day time limit as this reflects the current procedure in other Scottish Tribunals. This will also allow a quicker resolution of cases. The time</w:t>
      </w:r>
      <w:r w:rsidR="008C536F">
        <w:rPr>
          <w:rFonts w:ascii="Arial" w:hAnsi="Arial" w:cs="Arial"/>
          <w:sz w:val="24"/>
          <w:szCs w:val="24"/>
        </w:rPr>
        <w:t xml:space="preserve"> </w:t>
      </w:r>
      <w:r w:rsidRPr="00220DFF">
        <w:rPr>
          <w:rFonts w:ascii="Arial" w:hAnsi="Arial" w:cs="Arial"/>
          <w:sz w:val="24"/>
          <w:szCs w:val="24"/>
        </w:rPr>
        <w:t>limits are specified in regulation 2016/231</w:t>
      </w:r>
      <w:r w:rsidRPr="00220DFF">
        <w:rPr>
          <w:rStyle w:val="FootnoteReference"/>
          <w:rFonts w:ascii="Arial" w:hAnsi="Arial" w:cs="Arial"/>
          <w:sz w:val="24"/>
          <w:szCs w:val="24"/>
        </w:rPr>
        <w:footnoteReference w:id="3"/>
      </w:r>
      <w:r w:rsidRPr="00220DFF">
        <w:rPr>
          <w:rFonts w:ascii="Arial" w:hAnsi="Arial" w:cs="Arial"/>
          <w:sz w:val="24"/>
          <w:szCs w:val="24"/>
        </w:rPr>
        <w:t xml:space="preserve"> and therefore we do not propose to replicate them in the Tribunal Rules. </w:t>
      </w:r>
    </w:p>
    <w:p w:rsidR="00AF5A46" w:rsidRPr="00220DFF" w:rsidRDefault="00AF5A46" w:rsidP="00AF5A46">
      <w:pPr>
        <w:pStyle w:val="ListParagraph"/>
        <w:rPr>
          <w:rFonts w:ascii="Arial" w:hAnsi="Arial" w:cs="Arial"/>
          <w:sz w:val="24"/>
          <w:szCs w:val="24"/>
        </w:rPr>
      </w:pPr>
    </w:p>
    <w:p w:rsidR="00AF5A46" w:rsidRPr="00220DFF" w:rsidRDefault="00AF5A46" w:rsidP="004A68FE">
      <w:pPr>
        <w:pStyle w:val="ListParagraph"/>
        <w:numPr>
          <w:ilvl w:val="0"/>
          <w:numId w:val="12"/>
        </w:numPr>
        <w:rPr>
          <w:rFonts w:ascii="Arial" w:hAnsi="Arial" w:cs="Arial"/>
          <w:sz w:val="24"/>
          <w:szCs w:val="24"/>
        </w:rPr>
      </w:pPr>
      <w:r w:rsidRPr="00220DFF">
        <w:rPr>
          <w:rFonts w:ascii="Arial" w:hAnsi="Arial" w:cs="Arial"/>
          <w:sz w:val="24"/>
          <w:szCs w:val="24"/>
        </w:rPr>
        <w:t xml:space="preserve">One respondent queried why the reference to national security was removed in relation to Public and Private Hearings. This was removed as it is highly unlikely cases that concern national security will be heard in the tribunal. </w:t>
      </w:r>
    </w:p>
    <w:p w:rsidR="00AF5A46" w:rsidRPr="00220DFF" w:rsidRDefault="00AF5A46" w:rsidP="00AF5A46">
      <w:pPr>
        <w:pStyle w:val="ListParagraph"/>
        <w:rPr>
          <w:rFonts w:ascii="Arial" w:hAnsi="Arial" w:cs="Arial"/>
          <w:sz w:val="24"/>
          <w:szCs w:val="24"/>
        </w:rPr>
      </w:pPr>
    </w:p>
    <w:p w:rsidR="00AF5A46" w:rsidRPr="00220DFF" w:rsidRDefault="00AF5A46" w:rsidP="00AF5A46">
      <w:pPr>
        <w:pStyle w:val="ListParagraph"/>
        <w:numPr>
          <w:ilvl w:val="0"/>
          <w:numId w:val="12"/>
        </w:numPr>
        <w:rPr>
          <w:rFonts w:ascii="Arial" w:hAnsi="Arial" w:cs="Arial"/>
          <w:sz w:val="24"/>
          <w:szCs w:val="24"/>
        </w:rPr>
      </w:pPr>
      <w:r w:rsidRPr="00220DFF">
        <w:rPr>
          <w:rFonts w:ascii="Arial" w:hAnsi="Arial" w:cs="Arial"/>
          <w:sz w:val="24"/>
          <w:szCs w:val="24"/>
        </w:rPr>
        <w:lastRenderedPageBreak/>
        <w:t xml:space="preserve">One respondent noted that the sections in relation to lead cases, consent orders, clerical mistakes, setting aside a decision and power to treat an application as a different type of application have been removed from the existing Scottish Tax Tribunals Rules. The provision relating to lead cases was replaced by references in the rule concerning case management powers to lead cases and giving the tribunal the power to conjoin cases and specify one or more cases as a lead case. The provision relating to consent orders was removed to ensure consistency with procedure in other Scottish tribunals. </w:t>
      </w:r>
    </w:p>
    <w:p w:rsidR="00AF5A46" w:rsidRPr="00220DFF" w:rsidRDefault="00AF5A46" w:rsidP="00AF5A46">
      <w:pPr>
        <w:pStyle w:val="ListParagraph"/>
        <w:rPr>
          <w:rFonts w:ascii="Arial" w:hAnsi="Arial" w:cs="Arial"/>
          <w:sz w:val="24"/>
          <w:szCs w:val="24"/>
        </w:rPr>
      </w:pPr>
    </w:p>
    <w:p w:rsidR="003B00FF" w:rsidRPr="003B00FF" w:rsidRDefault="00AF5A46" w:rsidP="003B00FF">
      <w:pPr>
        <w:pStyle w:val="ListParagraph"/>
        <w:numPr>
          <w:ilvl w:val="0"/>
          <w:numId w:val="12"/>
        </w:numPr>
        <w:rPr>
          <w:rFonts w:ascii="Arial" w:hAnsi="Arial" w:cs="Arial"/>
          <w:sz w:val="24"/>
          <w:szCs w:val="24"/>
        </w:rPr>
      </w:pPr>
      <w:r w:rsidRPr="00220DFF">
        <w:rPr>
          <w:rFonts w:ascii="Arial" w:hAnsi="Arial" w:cs="Arial"/>
          <w:sz w:val="24"/>
          <w:szCs w:val="24"/>
        </w:rPr>
        <w:t xml:space="preserve">The provisions regarding correction of clerical errors and setting aside a decision have been reintroduced as part of the revised part 4 on reviewing and appealing a decision. </w:t>
      </w:r>
      <w:r w:rsidRPr="008C536F">
        <w:rPr>
          <w:rFonts w:ascii="Arial" w:hAnsi="Arial" w:cs="Arial"/>
          <w:sz w:val="24"/>
          <w:szCs w:val="24"/>
        </w:rPr>
        <w:t xml:space="preserve">The review provision has been substantially revised as a result of comments from organisations. We propose to tie the review in with the permission to appeal stage. </w:t>
      </w:r>
    </w:p>
    <w:p w:rsidR="003B00FF" w:rsidRPr="003B00FF" w:rsidRDefault="003B00FF" w:rsidP="003B00FF">
      <w:pPr>
        <w:pStyle w:val="ListParagraph"/>
        <w:ind w:left="465"/>
        <w:rPr>
          <w:rFonts w:ascii="Arial" w:hAnsi="Arial" w:cs="Arial"/>
          <w:sz w:val="24"/>
          <w:szCs w:val="24"/>
        </w:rPr>
      </w:pPr>
    </w:p>
    <w:p w:rsidR="00420A5D" w:rsidRDefault="00D514A0" w:rsidP="00F14485">
      <w:pPr>
        <w:pStyle w:val="ListParagraph"/>
        <w:ind w:left="465"/>
        <w:rPr>
          <w:rFonts w:ascii="Arial" w:hAnsi="Arial" w:cs="Arial"/>
          <w:sz w:val="24"/>
          <w:szCs w:val="24"/>
          <w:u w:val="single"/>
        </w:rPr>
      </w:pPr>
      <w:r>
        <w:rPr>
          <w:rFonts w:ascii="Arial" w:hAnsi="Arial" w:cs="Arial"/>
          <w:sz w:val="24"/>
          <w:szCs w:val="24"/>
          <w:u w:val="single"/>
        </w:rPr>
        <w:t xml:space="preserve">Composition of the Scottish Tribunals when hearing cases to and from the </w:t>
      </w:r>
      <w:r w:rsidR="008B6970">
        <w:rPr>
          <w:rFonts w:ascii="Arial" w:hAnsi="Arial" w:cs="Arial"/>
          <w:sz w:val="24"/>
          <w:szCs w:val="24"/>
          <w:u w:val="single"/>
        </w:rPr>
        <w:t>Tax</w:t>
      </w:r>
      <w:r>
        <w:rPr>
          <w:rFonts w:ascii="Arial" w:hAnsi="Arial" w:cs="Arial"/>
          <w:sz w:val="24"/>
          <w:szCs w:val="24"/>
          <w:u w:val="single"/>
        </w:rPr>
        <w:t xml:space="preserve"> Chamber</w:t>
      </w:r>
    </w:p>
    <w:p w:rsidR="00420A5D" w:rsidRDefault="00420A5D" w:rsidP="00F14485">
      <w:pPr>
        <w:pStyle w:val="ListParagraph"/>
        <w:ind w:left="465"/>
        <w:rPr>
          <w:rFonts w:ascii="Arial" w:hAnsi="Arial" w:cs="Arial"/>
          <w:sz w:val="24"/>
          <w:szCs w:val="24"/>
          <w:u w:val="single"/>
        </w:rPr>
      </w:pPr>
    </w:p>
    <w:p w:rsidR="00014E74" w:rsidRPr="00014E74" w:rsidRDefault="00BF4CE2" w:rsidP="00BF4CE2">
      <w:pPr>
        <w:pStyle w:val="ListParagraph"/>
        <w:numPr>
          <w:ilvl w:val="0"/>
          <w:numId w:val="12"/>
        </w:numPr>
        <w:rPr>
          <w:rFonts w:cs="Arial"/>
          <w:szCs w:val="24"/>
        </w:rPr>
      </w:pPr>
      <w:r>
        <w:rPr>
          <w:rFonts w:ascii="Arial" w:hAnsi="Arial" w:cs="Arial"/>
          <w:sz w:val="24"/>
          <w:szCs w:val="24"/>
        </w:rPr>
        <w:t>One organisation suggested that the word “ordinary”</w:t>
      </w:r>
      <w:r w:rsidR="00014E74">
        <w:rPr>
          <w:rFonts w:ascii="Arial" w:hAnsi="Arial" w:cs="Arial"/>
          <w:sz w:val="24"/>
          <w:szCs w:val="24"/>
        </w:rPr>
        <w:t xml:space="preserve"> should be supplemented with “or legal” in</w:t>
      </w:r>
      <w:r>
        <w:rPr>
          <w:rFonts w:ascii="Arial" w:hAnsi="Arial" w:cs="Arial"/>
          <w:sz w:val="24"/>
          <w:szCs w:val="24"/>
        </w:rPr>
        <w:t xml:space="preserve"> </w:t>
      </w:r>
      <w:r w:rsidR="00014E74">
        <w:rPr>
          <w:rFonts w:ascii="Arial" w:hAnsi="Arial" w:cs="Arial"/>
          <w:sz w:val="24"/>
          <w:szCs w:val="24"/>
        </w:rPr>
        <w:t>regulation 2(b) which sets out how many members may hear cases in the First-tier Tribunal Tax Chamber. We have amended the regulation to allow a legal member and one ordinary</w:t>
      </w:r>
      <w:r w:rsidR="008C536F">
        <w:rPr>
          <w:rFonts w:ascii="Arial" w:hAnsi="Arial" w:cs="Arial"/>
          <w:sz w:val="24"/>
          <w:szCs w:val="24"/>
        </w:rPr>
        <w:t xml:space="preserve"> or legal member to hear a case. This maintains the status quo. </w:t>
      </w:r>
    </w:p>
    <w:p w:rsidR="00BF4CE2" w:rsidRPr="00014E74" w:rsidRDefault="00BF4CE2" w:rsidP="00014E74">
      <w:pPr>
        <w:pStyle w:val="ListParagraph"/>
        <w:ind w:left="465"/>
        <w:rPr>
          <w:rFonts w:cs="Arial"/>
          <w:szCs w:val="24"/>
        </w:rPr>
      </w:pPr>
    </w:p>
    <w:p w:rsidR="00F2119B" w:rsidRPr="008C536F" w:rsidRDefault="00014E74" w:rsidP="00F2119B">
      <w:pPr>
        <w:pStyle w:val="ListParagraph"/>
        <w:numPr>
          <w:ilvl w:val="0"/>
          <w:numId w:val="12"/>
        </w:numPr>
        <w:rPr>
          <w:rFonts w:cs="Arial"/>
          <w:b/>
          <w:szCs w:val="24"/>
        </w:rPr>
      </w:pPr>
      <w:r w:rsidRPr="008C536F">
        <w:rPr>
          <w:rFonts w:ascii="Arial" w:hAnsi="Arial" w:cs="Arial"/>
          <w:sz w:val="24"/>
          <w:szCs w:val="24"/>
        </w:rPr>
        <w:t>One organisation suggested that</w:t>
      </w:r>
      <w:r w:rsidR="0091342D" w:rsidRPr="008C536F">
        <w:rPr>
          <w:rFonts w:ascii="Arial" w:hAnsi="Arial" w:cs="Arial"/>
          <w:sz w:val="24"/>
          <w:szCs w:val="24"/>
        </w:rPr>
        <w:t xml:space="preserve"> to maintain the status quo</w:t>
      </w:r>
      <w:r w:rsidRPr="008C536F">
        <w:rPr>
          <w:rFonts w:ascii="Arial" w:hAnsi="Arial" w:cs="Arial"/>
          <w:sz w:val="24"/>
          <w:szCs w:val="24"/>
        </w:rPr>
        <w:t xml:space="preserve"> the judiciary sitting in the Upper Tribunal should be limited to Court of Session jud</w:t>
      </w:r>
      <w:r w:rsidR="0091342D" w:rsidRPr="008C536F">
        <w:rPr>
          <w:rFonts w:ascii="Arial" w:hAnsi="Arial" w:cs="Arial"/>
          <w:sz w:val="24"/>
          <w:szCs w:val="24"/>
        </w:rPr>
        <w:t xml:space="preserve">ges. This would exclude sheriffs and the Chairman of the Scottish Land Court from being able to sit on cases. We have amended the regulations to </w:t>
      </w:r>
      <w:r w:rsidR="00F2119B" w:rsidRPr="008C536F">
        <w:rPr>
          <w:rFonts w:ascii="Arial" w:hAnsi="Arial" w:cs="Arial"/>
          <w:sz w:val="24"/>
          <w:szCs w:val="24"/>
        </w:rPr>
        <w:t xml:space="preserve">reflect </w:t>
      </w:r>
      <w:r w:rsidR="008C536F" w:rsidRPr="008C536F">
        <w:rPr>
          <w:rFonts w:ascii="Arial" w:hAnsi="Arial" w:cs="Arial"/>
          <w:sz w:val="24"/>
          <w:szCs w:val="24"/>
        </w:rPr>
        <w:t xml:space="preserve">this and the President of Tribunals will now be able to choose a legal member of the Upper Tribunal, a Court of Session </w:t>
      </w:r>
      <w:r w:rsidR="008C536F">
        <w:rPr>
          <w:rFonts w:ascii="Arial" w:hAnsi="Arial" w:cs="Arial"/>
          <w:sz w:val="24"/>
          <w:szCs w:val="24"/>
        </w:rPr>
        <w:t xml:space="preserve">Judge, the Chamber President of the First-tier Tax Chamber, the Lord President or the President of Tribunals to hear appeals or referrals in the Upper Tribunal.  </w:t>
      </w:r>
    </w:p>
    <w:p w:rsidR="00F2119B" w:rsidRPr="0091342D" w:rsidRDefault="00F2119B" w:rsidP="008C536F">
      <w:pPr>
        <w:pStyle w:val="ListParagraph"/>
        <w:ind w:left="465"/>
        <w:rPr>
          <w:rFonts w:cs="Arial"/>
          <w:b/>
          <w:szCs w:val="24"/>
        </w:rPr>
      </w:pPr>
    </w:p>
    <w:p w:rsidR="001123CC" w:rsidRDefault="007E6F7F" w:rsidP="001123CC">
      <w:pPr>
        <w:rPr>
          <w:rFonts w:cs="Arial"/>
          <w:b/>
          <w:szCs w:val="24"/>
        </w:rPr>
      </w:pPr>
      <w:r>
        <w:rPr>
          <w:rFonts w:cs="Arial"/>
          <w:b/>
          <w:szCs w:val="24"/>
        </w:rPr>
        <w:t xml:space="preserve">Next Steps </w:t>
      </w:r>
    </w:p>
    <w:p w:rsidR="007E6F7F" w:rsidRDefault="007E6F7F" w:rsidP="001123CC">
      <w:pPr>
        <w:rPr>
          <w:rFonts w:cs="Arial"/>
          <w:b/>
          <w:szCs w:val="24"/>
        </w:rPr>
      </w:pPr>
    </w:p>
    <w:p w:rsidR="007E6F7F" w:rsidRDefault="007E6F7F" w:rsidP="00AA086F">
      <w:pPr>
        <w:pStyle w:val="ListParagraph"/>
        <w:numPr>
          <w:ilvl w:val="0"/>
          <w:numId w:val="12"/>
        </w:numPr>
        <w:rPr>
          <w:rFonts w:ascii="Arial" w:hAnsi="Arial" w:cs="Arial"/>
          <w:sz w:val="24"/>
          <w:szCs w:val="24"/>
        </w:rPr>
      </w:pPr>
      <w:r w:rsidRPr="007E6F7F">
        <w:rPr>
          <w:rFonts w:ascii="Arial" w:hAnsi="Arial" w:cs="Arial"/>
          <w:sz w:val="24"/>
          <w:szCs w:val="24"/>
        </w:rPr>
        <w:t xml:space="preserve">The draft regulations have been amended </w:t>
      </w:r>
      <w:r w:rsidR="00E51D35">
        <w:rPr>
          <w:rFonts w:ascii="Arial" w:hAnsi="Arial" w:cs="Arial"/>
          <w:sz w:val="24"/>
          <w:szCs w:val="24"/>
        </w:rPr>
        <w:t>as considered appropriate, in light of</w:t>
      </w:r>
      <w:r w:rsidRPr="007E6F7F">
        <w:rPr>
          <w:rFonts w:ascii="Arial" w:hAnsi="Arial" w:cs="Arial"/>
          <w:sz w:val="24"/>
          <w:szCs w:val="24"/>
        </w:rPr>
        <w:t xml:space="preserve"> </w:t>
      </w:r>
      <w:r w:rsidR="00223C4A" w:rsidRPr="007E6F7F">
        <w:rPr>
          <w:rFonts w:ascii="Arial" w:hAnsi="Arial" w:cs="Arial"/>
          <w:sz w:val="24"/>
          <w:szCs w:val="24"/>
        </w:rPr>
        <w:t>respondents’</w:t>
      </w:r>
      <w:r w:rsidR="00AA086F">
        <w:rPr>
          <w:rFonts w:ascii="Arial" w:hAnsi="Arial" w:cs="Arial"/>
          <w:sz w:val="24"/>
          <w:szCs w:val="24"/>
        </w:rPr>
        <w:t xml:space="preserve"> comments. We propose to lay these regulations in</w:t>
      </w:r>
      <w:r w:rsidR="00220DFF">
        <w:rPr>
          <w:rFonts w:ascii="Arial" w:hAnsi="Arial" w:cs="Arial"/>
          <w:sz w:val="24"/>
          <w:szCs w:val="24"/>
        </w:rPr>
        <w:t xml:space="preserve"> the Scottish Parliament</w:t>
      </w:r>
      <w:r w:rsidR="00E51D35">
        <w:rPr>
          <w:rFonts w:ascii="Arial" w:hAnsi="Arial" w:cs="Arial"/>
          <w:sz w:val="24"/>
          <w:szCs w:val="24"/>
        </w:rPr>
        <w:t xml:space="preserve"> in </w:t>
      </w:r>
      <w:r w:rsidR="00220DFF">
        <w:rPr>
          <w:rFonts w:ascii="Arial" w:hAnsi="Arial" w:cs="Arial"/>
          <w:sz w:val="24"/>
          <w:szCs w:val="24"/>
        </w:rPr>
        <w:t>early 2017</w:t>
      </w:r>
      <w:r w:rsidR="00AA086F">
        <w:rPr>
          <w:rFonts w:ascii="Arial" w:hAnsi="Arial" w:cs="Arial"/>
          <w:sz w:val="24"/>
          <w:szCs w:val="24"/>
        </w:rPr>
        <w:t xml:space="preserve">. The intention is for these regulations to come into force in </w:t>
      </w:r>
      <w:r w:rsidR="00220DFF">
        <w:rPr>
          <w:rFonts w:ascii="Arial" w:hAnsi="Arial" w:cs="Arial"/>
          <w:sz w:val="24"/>
          <w:szCs w:val="24"/>
        </w:rPr>
        <w:t>April 2017.</w:t>
      </w:r>
      <w:r w:rsidR="00AA086F">
        <w:rPr>
          <w:rFonts w:ascii="Arial" w:hAnsi="Arial" w:cs="Arial"/>
          <w:sz w:val="24"/>
          <w:szCs w:val="24"/>
        </w:rPr>
        <w:t xml:space="preserve"> </w:t>
      </w:r>
    </w:p>
    <w:p w:rsidR="00F76C88" w:rsidRPr="00326BBC" w:rsidRDefault="00F76C88" w:rsidP="009B3CCB">
      <w:pPr>
        <w:spacing w:after="200"/>
        <w:rPr>
          <w:rFonts w:cs="Arial"/>
          <w:b/>
          <w:szCs w:val="24"/>
        </w:rPr>
      </w:pPr>
    </w:p>
    <w:sectPr w:rsidR="00F76C88" w:rsidRPr="00326BB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6A" w:rsidRDefault="007D1D6A" w:rsidP="00295E65">
      <w:pPr>
        <w:spacing w:after="0" w:line="240" w:lineRule="auto"/>
      </w:pPr>
      <w:r>
        <w:separator/>
      </w:r>
    </w:p>
  </w:endnote>
  <w:endnote w:type="continuationSeparator" w:id="0">
    <w:p w:rsidR="007D1D6A" w:rsidRDefault="007D1D6A" w:rsidP="0029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698912"/>
      <w:docPartObj>
        <w:docPartGallery w:val="Page Numbers (Bottom of Page)"/>
        <w:docPartUnique/>
      </w:docPartObj>
    </w:sdtPr>
    <w:sdtEndPr>
      <w:rPr>
        <w:noProof/>
      </w:rPr>
    </w:sdtEndPr>
    <w:sdtContent>
      <w:p w:rsidR="00074F14" w:rsidRDefault="00074F14">
        <w:pPr>
          <w:pStyle w:val="Footer"/>
          <w:jc w:val="center"/>
        </w:pPr>
        <w:r>
          <w:fldChar w:fldCharType="begin"/>
        </w:r>
        <w:r>
          <w:instrText xml:space="preserve"> PAGE   \* MERGEFORMAT </w:instrText>
        </w:r>
        <w:r>
          <w:fldChar w:fldCharType="separate"/>
        </w:r>
        <w:r w:rsidR="00FA2E83">
          <w:rPr>
            <w:noProof/>
          </w:rPr>
          <w:t>1</w:t>
        </w:r>
        <w:r>
          <w:rPr>
            <w:noProof/>
          </w:rPr>
          <w:fldChar w:fldCharType="end"/>
        </w:r>
      </w:p>
    </w:sdtContent>
  </w:sdt>
  <w:p w:rsidR="00074F14" w:rsidRDefault="00074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6A" w:rsidRDefault="007D1D6A" w:rsidP="00295E65">
      <w:pPr>
        <w:spacing w:after="0" w:line="240" w:lineRule="auto"/>
      </w:pPr>
      <w:r>
        <w:separator/>
      </w:r>
    </w:p>
  </w:footnote>
  <w:footnote w:type="continuationSeparator" w:id="0">
    <w:p w:rsidR="007D1D6A" w:rsidRDefault="007D1D6A" w:rsidP="00295E65">
      <w:pPr>
        <w:spacing w:after="0" w:line="240" w:lineRule="auto"/>
      </w:pPr>
      <w:r>
        <w:continuationSeparator/>
      </w:r>
    </w:p>
  </w:footnote>
  <w:footnote w:id="1">
    <w:p w:rsidR="000F6C5E" w:rsidRDefault="000F6C5E">
      <w:pPr>
        <w:pStyle w:val="FootnoteText"/>
      </w:pPr>
      <w:r>
        <w:rPr>
          <w:rStyle w:val="FootnoteReference"/>
        </w:rPr>
        <w:footnoteRef/>
      </w:r>
      <w:r>
        <w:t xml:space="preserve"> </w:t>
      </w:r>
      <w:hyperlink r:id="rId1" w:history="1">
        <w:r w:rsidRPr="008A79DF">
          <w:rPr>
            <w:rStyle w:val="Hyperlink"/>
          </w:rPr>
          <w:t>https://consult.scotland.gov.uk/tribunals-administrative-justice-policy/tribunals-scotland-act-2014-draft-regulations/</w:t>
        </w:r>
      </w:hyperlink>
    </w:p>
    <w:p w:rsidR="000F6C5E" w:rsidRDefault="000F6C5E">
      <w:pPr>
        <w:pStyle w:val="FootnoteText"/>
      </w:pPr>
    </w:p>
  </w:footnote>
  <w:footnote w:id="2">
    <w:p w:rsidR="000F6C5E" w:rsidRDefault="000F6C5E">
      <w:pPr>
        <w:pStyle w:val="FootnoteText"/>
      </w:pPr>
      <w:r>
        <w:rPr>
          <w:rStyle w:val="FootnoteReference"/>
        </w:rPr>
        <w:footnoteRef/>
      </w:r>
      <w:r>
        <w:t xml:space="preserve"> </w:t>
      </w:r>
      <w:hyperlink r:id="rId2" w:history="1">
        <w:r w:rsidRPr="008A79DF">
          <w:rPr>
            <w:rStyle w:val="Hyperlink"/>
          </w:rPr>
          <w:t>https://consult.scotland.gov.uk/tribunals-administrative-justice-policy/tribunals-scotland-act-2014-draft-regulations/consultation/published_select_respondent</w:t>
        </w:r>
      </w:hyperlink>
    </w:p>
    <w:p w:rsidR="000F6C5E" w:rsidRDefault="000F6C5E">
      <w:pPr>
        <w:pStyle w:val="FootnoteText"/>
      </w:pPr>
    </w:p>
  </w:footnote>
  <w:footnote w:id="3">
    <w:p w:rsidR="004A68FE" w:rsidRDefault="004A68FE">
      <w:pPr>
        <w:pStyle w:val="FootnoteText"/>
      </w:pPr>
      <w:r>
        <w:rPr>
          <w:rStyle w:val="FootnoteReference"/>
        </w:rPr>
        <w:footnoteRef/>
      </w:r>
      <w:r>
        <w:t xml:space="preserve"> </w:t>
      </w:r>
      <w:hyperlink r:id="rId3" w:anchor="regulation-2-4-a-i" w:history="1">
        <w:r w:rsidRPr="0077327A">
          <w:rPr>
            <w:rStyle w:val="Hyperlink"/>
          </w:rPr>
          <w:t>http://www.legislation.gov.uk/ssi/2016/231/regulation/2/made#regulation-2-4-a-i</w:t>
        </w:r>
      </w:hyperlink>
    </w:p>
    <w:p w:rsidR="004A68FE" w:rsidRDefault="004A68F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12ABF54"/>
    <w:lvl w:ilvl="0">
      <w:start w:val="1"/>
      <w:numFmt w:val="decimal"/>
      <w:lvlText w:val="%1."/>
      <w:legacy w:legacy="1" w:legacySpace="288" w:legacyIndent="720"/>
      <w:lvlJc w:val="left"/>
      <w:pPr>
        <w:ind w:left="0" w:firstLine="425"/>
      </w:pPr>
    </w:lvl>
    <w:lvl w:ilvl="1">
      <w:start w:val="1"/>
      <w:numFmt w:val="decimal"/>
      <w:lvlText w:val="%1.%2"/>
      <w:legacy w:legacy="1" w:legacySpace="284" w:legacyIndent="720"/>
      <w:lvlJc w:val="left"/>
      <w:pPr>
        <w:ind w:left="0" w:firstLine="425"/>
      </w:pPr>
    </w:lvl>
    <w:lvl w:ilvl="2">
      <w:start w:val="1"/>
      <w:numFmt w:val="decimal"/>
      <w:pStyle w:val="Heading3"/>
      <w:lvlText w:val="%1.%2.%3"/>
      <w:legacy w:legacy="1" w:legacySpace="284" w:legacyIndent="720"/>
      <w:lvlJc w:val="left"/>
      <w:pPr>
        <w:ind w:left="0" w:firstLine="425"/>
      </w:pPr>
    </w:lvl>
    <w:lvl w:ilvl="3">
      <w:start w:val="1"/>
      <w:numFmt w:val="decimal"/>
      <w:lvlText w:val="%1.%2.%3.%4"/>
      <w:legacy w:legacy="1" w:legacySpace="144" w:legacyIndent="0"/>
      <w:lvlJc w:val="left"/>
      <w:pPr>
        <w:ind w:left="0" w:firstLine="425"/>
      </w:pPr>
    </w:lvl>
    <w:lvl w:ilvl="4">
      <w:start w:val="1"/>
      <w:numFmt w:val="decimal"/>
      <w:lvlText w:val="%1.%2.%3.%4.%5"/>
      <w:legacy w:legacy="1" w:legacySpace="144" w:legacyIndent="0"/>
      <w:lvlJc w:val="left"/>
      <w:pPr>
        <w:ind w:left="0" w:firstLine="425"/>
      </w:pPr>
    </w:lvl>
    <w:lvl w:ilvl="5">
      <w:start w:val="1"/>
      <w:numFmt w:val="decimal"/>
      <w:lvlText w:val="%1.%2.%3.%4.%5.%6"/>
      <w:legacy w:legacy="1" w:legacySpace="144" w:legacyIndent="0"/>
      <w:lvlJc w:val="left"/>
      <w:pPr>
        <w:ind w:left="0" w:firstLine="425"/>
      </w:pPr>
    </w:lvl>
    <w:lvl w:ilvl="6">
      <w:start w:val="1"/>
      <w:numFmt w:val="decimal"/>
      <w:lvlText w:val="%1.%2.%3.%4.%5.%6.%7"/>
      <w:legacy w:legacy="1" w:legacySpace="144" w:legacyIndent="0"/>
      <w:lvlJc w:val="left"/>
      <w:pPr>
        <w:ind w:left="0" w:firstLine="425"/>
      </w:pPr>
    </w:lvl>
    <w:lvl w:ilvl="7">
      <w:start w:val="1"/>
      <w:numFmt w:val="decimal"/>
      <w:lvlText w:val="%1.%2.%3.%4.%5.%6.%7.%8"/>
      <w:legacy w:legacy="1" w:legacySpace="144" w:legacyIndent="0"/>
      <w:lvlJc w:val="left"/>
      <w:pPr>
        <w:ind w:left="0" w:firstLine="425"/>
      </w:pPr>
    </w:lvl>
    <w:lvl w:ilvl="8">
      <w:start w:val="1"/>
      <w:numFmt w:val="decimal"/>
      <w:lvlText w:val="%1.%2.%3.%4.%5.%6.%7.%8.%9"/>
      <w:legacy w:legacy="1" w:legacySpace="144" w:legacyIndent="0"/>
      <w:lvlJc w:val="left"/>
      <w:pPr>
        <w:ind w:left="0" w:firstLine="425"/>
      </w:pPr>
    </w:lvl>
  </w:abstractNum>
  <w:abstractNum w:abstractNumId="1">
    <w:nsid w:val="0BAD252C"/>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3DB5FB8"/>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963149B"/>
    <w:multiLevelType w:val="hybridMultilevel"/>
    <w:tmpl w:val="2B109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D47F73"/>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E2C271A"/>
    <w:multiLevelType w:val="hybridMultilevel"/>
    <w:tmpl w:val="59267442"/>
    <w:lvl w:ilvl="0" w:tplc="A57C37A4">
      <w:start w:val="1"/>
      <w:numFmt w:val="decimal"/>
      <w:pStyle w:val="Heading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8325C0"/>
    <w:multiLevelType w:val="hybridMultilevel"/>
    <w:tmpl w:val="C8C25DC4"/>
    <w:lvl w:ilvl="0" w:tplc="2BC2F4B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9B07218"/>
    <w:multiLevelType w:val="hybridMultilevel"/>
    <w:tmpl w:val="F0F45972"/>
    <w:lvl w:ilvl="0" w:tplc="CFBACB28">
      <w:start w:val="1"/>
      <w:numFmt w:val="decimal"/>
      <w:lvlText w:val="%1."/>
      <w:lvlJc w:val="left"/>
      <w:pPr>
        <w:ind w:left="465" w:hanging="465"/>
      </w:pPr>
      <w:rPr>
        <w:rFonts w:ascii="Arial" w:hAnsi="Arial" w:cs="Arial" w:hint="default"/>
        <w:b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04F7549"/>
    <w:multiLevelType w:val="hybridMultilevel"/>
    <w:tmpl w:val="770ED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E947243"/>
    <w:multiLevelType w:val="hybridMultilevel"/>
    <w:tmpl w:val="92903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3316A1"/>
    <w:multiLevelType w:val="hybridMultilevel"/>
    <w:tmpl w:val="A2FC072A"/>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531" w:hanging="360"/>
      </w:pPr>
    </w:lvl>
    <w:lvl w:ilvl="2" w:tplc="0809001B" w:tentative="1">
      <w:start w:val="1"/>
      <w:numFmt w:val="lowerRoman"/>
      <w:lvlText w:val="%3."/>
      <w:lvlJc w:val="right"/>
      <w:pPr>
        <w:ind w:left="3251" w:hanging="180"/>
      </w:pPr>
    </w:lvl>
    <w:lvl w:ilvl="3" w:tplc="0809000F" w:tentative="1">
      <w:start w:val="1"/>
      <w:numFmt w:val="decimal"/>
      <w:lvlText w:val="%4."/>
      <w:lvlJc w:val="left"/>
      <w:pPr>
        <w:ind w:left="3971" w:hanging="360"/>
      </w:pPr>
    </w:lvl>
    <w:lvl w:ilvl="4" w:tplc="08090019" w:tentative="1">
      <w:start w:val="1"/>
      <w:numFmt w:val="lowerLetter"/>
      <w:lvlText w:val="%5."/>
      <w:lvlJc w:val="left"/>
      <w:pPr>
        <w:ind w:left="4691" w:hanging="360"/>
      </w:pPr>
    </w:lvl>
    <w:lvl w:ilvl="5" w:tplc="0809001B" w:tentative="1">
      <w:start w:val="1"/>
      <w:numFmt w:val="lowerRoman"/>
      <w:lvlText w:val="%6."/>
      <w:lvlJc w:val="right"/>
      <w:pPr>
        <w:ind w:left="5411" w:hanging="180"/>
      </w:pPr>
    </w:lvl>
    <w:lvl w:ilvl="6" w:tplc="0809000F" w:tentative="1">
      <w:start w:val="1"/>
      <w:numFmt w:val="decimal"/>
      <w:lvlText w:val="%7."/>
      <w:lvlJc w:val="left"/>
      <w:pPr>
        <w:ind w:left="6131" w:hanging="360"/>
      </w:pPr>
    </w:lvl>
    <w:lvl w:ilvl="7" w:tplc="08090019" w:tentative="1">
      <w:start w:val="1"/>
      <w:numFmt w:val="lowerLetter"/>
      <w:lvlText w:val="%8."/>
      <w:lvlJc w:val="left"/>
      <w:pPr>
        <w:ind w:left="6851" w:hanging="360"/>
      </w:pPr>
    </w:lvl>
    <w:lvl w:ilvl="8" w:tplc="0809001B" w:tentative="1">
      <w:start w:val="1"/>
      <w:numFmt w:val="lowerRoman"/>
      <w:lvlText w:val="%9."/>
      <w:lvlJc w:val="right"/>
      <w:pPr>
        <w:ind w:left="7571" w:hanging="180"/>
      </w:pPr>
    </w:lvl>
  </w:abstractNum>
  <w:abstractNum w:abstractNumId="11">
    <w:nsid w:val="4A240591"/>
    <w:multiLevelType w:val="hybridMultilevel"/>
    <w:tmpl w:val="7AC07E8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CE42E1"/>
    <w:multiLevelType w:val="multilevel"/>
    <w:tmpl w:val="51EA154E"/>
    <w:name w:val="seq1"/>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5940EF9"/>
    <w:multiLevelType w:val="hybridMultilevel"/>
    <w:tmpl w:val="FB767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11"/>
  </w:num>
  <w:num w:numId="6">
    <w:abstractNumId w:val="10"/>
  </w:num>
  <w:num w:numId="7">
    <w:abstractNumId w:val="5"/>
  </w:num>
  <w:num w:numId="8">
    <w:abstractNumId w:val="9"/>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3"/>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33"/>
    <w:rsid w:val="00001454"/>
    <w:rsid w:val="00002AFE"/>
    <w:rsid w:val="00014C33"/>
    <w:rsid w:val="00014E74"/>
    <w:rsid w:val="00015932"/>
    <w:rsid w:val="00023091"/>
    <w:rsid w:val="00027BD0"/>
    <w:rsid w:val="00045A85"/>
    <w:rsid w:val="000728EA"/>
    <w:rsid w:val="00074F14"/>
    <w:rsid w:val="00094DCB"/>
    <w:rsid w:val="00094EF6"/>
    <w:rsid w:val="000B76CD"/>
    <w:rsid w:val="000C03A6"/>
    <w:rsid w:val="000C4A76"/>
    <w:rsid w:val="000D155C"/>
    <w:rsid w:val="000D300D"/>
    <w:rsid w:val="000D4A7C"/>
    <w:rsid w:val="000E22F6"/>
    <w:rsid w:val="000E3BD3"/>
    <w:rsid w:val="000F0933"/>
    <w:rsid w:val="000F3053"/>
    <w:rsid w:val="000F5120"/>
    <w:rsid w:val="000F60BA"/>
    <w:rsid w:val="000F6C5E"/>
    <w:rsid w:val="001123CC"/>
    <w:rsid w:val="001134DF"/>
    <w:rsid w:val="00113A1A"/>
    <w:rsid w:val="00167003"/>
    <w:rsid w:val="00174D9A"/>
    <w:rsid w:val="00181ADD"/>
    <w:rsid w:val="00190265"/>
    <w:rsid w:val="001A5421"/>
    <w:rsid w:val="001D08DE"/>
    <w:rsid w:val="001D2BCD"/>
    <w:rsid w:val="001F73D8"/>
    <w:rsid w:val="002037DD"/>
    <w:rsid w:val="002077A9"/>
    <w:rsid w:val="00220DFF"/>
    <w:rsid w:val="00223C4A"/>
    <w:rsid w:val="002536F9"/>
    <w:rsid w:val="00261F3B"/>
    <w:rsid w:val="00271243"/>
    <w:rsid w:val="00282F05"/>
    <w:rsid w:val="00295E65"/>
    <w:rsid w:val="002B2C89"/>
    <w:rsid w:val="002E15A9"/>
    <w:rsid w:val="002E7412"/>
    <w:rsid w:val="002F459A"/>
    <w:rsid w:val="002F7BA1"/>
    <w:rsid w:val="00300574"/>
    <w:rsid w:val="00326BBC"/>
    <w:rsid w:val="0033362A"/>
    <w:rsid w:val="003410A8"/>
    <w:rsid w:val="00345204"/>
    <w:rsid w:val="00352BE9"/>
    <w:rsid w:val="00396C57"/>
    <w:rsid w:val="003A6C8F"/>
    <w:rsid w:val="003B00FF"/>
    <w:rsid w:val="003B5D4D"/>
    <w:rsid w:val="003E141D"/>
    <w:rsid w:val="003E5B5B"/>
    <w:rsid w:val="003E69CF"/>
    <w:rsid w:val="003F5CF0"/>
    <w:rsid w:val="0041453E"/>
    <w:rsid w:val="00416EDC"/>
    <w:rsid w:val="00420A5D"/>
    <w:rsid w:val="004332FC"/>
    <w:rsid w:val="00444D63"/>
    <w:rsid w:val="00445603"/>
    <w:rsid w:val="00456883"/>
    <w:rsid w:val="00475B98"/>
    <w:rsid w:val="0048653E"/>
    <w:rsid w:val="004930AE"/>
    <w:rsid w:val="004930BC"/>
    <w:rsid w:val="004954E4"/>
    <w:rsid w:val="004A68FE"/>
    <w:rsid w:val="004E6BA1"/>
    <w:rsid w:val="005564AD"/>
    <w:rsid w:val="00560394"/>
    <w:rsid w:val="00560759"/>
    <w:rsid w:val="0056133A"/>
    <w:rsid w:val="0056350C"/>
    <w:rsid w:val="005B7496"/>
    <w:rsid w:val="005C0682"/>
    <w:rsid w:val="005E127E"/>
    <w:rsid w:val="005F0E5C"/>
    <w:rsid w:val="005F6A2D"/>
    <w:rsid w:val="00610559"/>
    <w:rsid w:val="00616D03"/>
    <w:rsid w:val="00631FCD"/>
    <w:rsid w:val="006344FB"/>
    <w:rsid w:val="00652530"/>
    <w:rsid w:val="00666A2B"/>
    <w:rsid w:val="00677F21"/>
    <w:rsid w:val="00695242"/>
    <w:rsid w:val="006A7BBE"/>
    <w:rsid w:val="006F19F7"/>
    <w:rsid w:val="006F3AFF"/>
    <w:rsid w:val="00716B0F"/>
    <w:rsid w:val="00720412"/>
    <w:rsid w:val="0075046E"/>
    <w:rsid w:val="0075524C"/>
    <w:rsid w:val="00770BBE"/>
    <w:rsid w:val="007764E0"/>
    <w:rsid w:val="0078260A"/>
    <w:rsid w:val="007964ED"/>
    <w:rsid w:val="007A4A66"/>
    <w:rsid w:val="007B013A"/>
    <w:rsid w:val="007B4B22"/>
    <w:rsid w:val="007B7D3A"/>
    <w:rsid w:val="007D1D6A"/>
    <w:rsid w:val="007D278F"/>
    <w:rsid w:val="007E6F7F"/>
    <w:rsid w:val="008341D7"/>
    <w:rsid w:val="00836E5B"/>
    <w:rsid w:val="00862BA9"/>
    <w:rsid w:val="00864EBE"/>
    <w:rsid w:val="008A0A2B"/>
    <w:rsid w:val="008A1D84"/>
    <w:rsid w:val="008B4E43"/>
    <w:rsid w:val="008B6970"/>
    <w:rsid w:val="008C536F"/>
    <w:rsid w:val="0091342D"/>
    <w:rsid w:val="0092328A"/>
    <w:rsid w:val="00932013"/>
    <w:rsid w:val="00954B21"/>
    <w:rsid w:val="00955519"/>
    <w:rsid w:val="00971544"/>
    <w:rsid w:val="009905DC"/>
    <w:rsid w:val="009A397F"/>
    <w:rsid w:val="009B0341"/>
    <w:rsid w:val="009B1EAC"/>
    <w:rsid w:val="009B3CCB"/>
    <w:rsid w:val="009D1BF4"/>
    <w:rsid w:val="00A004AE"/>
    <w:rsid w:val="00A026AA"/>
    <w:rsid w:val="00A06462"/>
    <w:rsid w:val="00A33D95"/>
    <w:rsid w:val="00A43B78"/>
    <w:rsid w:val="00A4527E"/>
    <w:rsid w:val="00A646C5"/>
    <w:rsid w:val="00A722C0"/>
    <w:rsid w:val="00A870D4"/>
    <w:rsid w:val="00AA086F"/>
    <w:rsid w:val="00AA4D32"/>
    <w:rsid w:val="00AB46A9"/>
    <w:rsid w:val="00AC5D69"/>
    <w:rsid w:val="00AD3876"/>
    <w:rsid w:val="00AD6F34"/>
    <w:rsid w:val="00AF2341"/>
    <w:rsid w:val="00AF5A46"/>
    <w:rsid w:val="00B1191D"/>
    <w:rsid w:val="00B21011"/>
    <w:rsid w:val="00B45EA9"/>
    <w:rsid w:val="00B52BDE"/>
    <w:rsid w:val="00B5509E"/>
    <w:rsid w:val="00B571D3"/>
    <w:rsid w:val="00B67BD6"/>
    <w:rsid w:val="00B75861"/>
    <w:rsid w:val="00B772B9"/>
    <w:rsid w:val="00B927FE"/>
    <w:rsid w:val="00BD02AC"/>
    <w:rsid w:val="00BD38E3"/>
    <w:rsid w:val="00BE7C1F"/>
    <w:rsid w:val="00BF4CE2"/>
    <w:rsid w:val="00C14F42"/>
    <w:rsid w:val="00C55574"/>
    <w:rsid w:val="00C633D4"/>
    <w:rsid w:val="00C775EA"/>
    <w:rsid w:val="00C9184A"/>
    <w:rsid w:val="00CD03B5"/>
    <w:rsid w:val="00CD52B0"/>
    <w:rsid w:val="00CD5E4C"/>
    <w:rsid w:val="00CF2462"/>
    <w:rsid w:val="00D21FE3"/>
    <w:rsid w:val="00D514A0"/>
    <w:rsid w:val="00D651F9"/>
    <w:rsid w:val="00D74118"/>
    <w:rsid w:val="00DA62F7"/>
    <w:rsid w:val="00DA63D5"/>
    <w:rsid w:val="00DC20B6"/>
    <w:rsid w:val="00DE3297"/>
    <w:rsid w:val="00DF2ACF"/>
    <w:rsid w:val="00E0631B"/>
    <w:rsid w:val="00E332D8"/>
    <w:rsid w:val="00E51D35"/>
    <w:rsid w:val="00E6030A"/>
    <w:rsid w:val="00E6192E"/>
    <w:rsid w:val="00E72533"/>
    <w:rsid w:val="00EC4C6B"/>
    <w:rsid w:val="00EC62D0"/>
    <w:rsid w:val="00ED3BC1"/>
    <w:rsid w:val="00EE25A9"/>
    <w:rsid w:val="00EE2818"/>
    <w:rsid w:val="00EF23E1"/>
    <w:rsid w:val="00F14485"/>
    <w:rsid w:val="00F16AB3"/>
    <w:rsid w:val="00F2119B"/>
    <w:rsid w:val="00F2385D"/>
    <w:rsid w:val="00F24FF5"/>
    <w:rsid w:val="00F4015A"/>
    <w:rsid w:val="00F51390"/>
    <w:rsid w:val="00F56566"/>
    <w:rsid w:val="00F76C88"/>
    <w:rsid w:val="00F907B9"/>
    <w:rsid w:val="00F94218"/>
    <w:rsid w:val="00FA2E83"/>
    <w:rsid w:val="00FB3464"/>
    <w:rsid w:val="00FC5E20"/>
    <w:rsid w:val="00FC5E3A"/>
    <w:rsid w:val="00FE53FF"/>
    <w:rsid w:val="00FF3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 w:type="character" w:styleId="CommentReference">
    <w:name w:val="annotation reference"/>
    <w:basedOn w:val="DefaultParagraphFont"/>
    <w:uiPriority w:val="99"/>
    <w:semiHidden/>
    <w:unhideWhenUsed/>
    <w:rsid w:val="00695242"/>
    <w:rPr>
      <w:sz w:val="16"/>
      <w:szCs w:val="16"/>
    </w:rPr>
  </w:style>
  <w:style w:type="paragraph" w:styleId="CommentText">
    <w:name w:val="annotation text"/>
    <w:basedOn w:val="Normal"/>
    <w:link w:val="CommentTextChar"/>
    <w:uiPriority w:val="99"/>
    <w:semiHidden/>
    <w:unhideWhenUsed/>
    <w:rsid w:val="00695242"/>
    <w:pPr>
      <w:spacing w:line="240" w:lineRule="auto"/>
    </w:pPr>
    <w:rPr>
      <w:sz w:val="20"/>
    </w:rPr>
  </w:style>
  <w:style w:type="character" w:customStyle="1" w:styleId="CommentTextChar">
    <w:name w:val="Comment Text Char"/>
    <w:basedOn w:val="DefaultParagraphFont"/>
    <w:link w:val="CommentText"/>
    <w:uiPriority w:val="99"/>
    <w:semiHidden/>
    <w:rsid w:val="0069524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5242"/>
    <w:rPr>
      <w:b/>
      <w:bCs/>
    </w:rPr>
  </w:style>
  <w:style w:type="character" w:customStyle="1" w:styleId="CommentSubjectChar">
    <w:name w:val="Comment Subject Char"/>
    <w:basedOn w:val="CommentTextChar"/>
    <w:link w:val="CommentSubject"/>
    <w:uiPriority w:val="99"/>
    <w:semiHidden/>
    <w:rsid w:val="00695242"/>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 w:type="character" w:styleId="CommentReference">
    <w:name w:val="annotation reference"/>
    <w:basedOn w:val="DefaultParagraphFont"/>
    <w:uiPriority w:val="99"/>
    <w:semiHidden/>
    <w:unhideWhenUsed/>
    <w:rsid w:val="00695242"/>
    <w:rPr>
      <w:sz w:val="16"/>
      <w:szCs w:val="16"/>
    </w:rPr>
  </w:style>
  <w:style w:type="paragraph" w:styleId="CommentText">
    <w:name w:val="annotation text"/>
    <w:basedOn w:val="Normal"/>
    <w:link w:val="CommentTextChar"/>
    <w:uiPriority w:val="99"/>
    <w:semiHidden/>
    <w:unhideWhenUsed/>
    <w:rsid w:val="00695242"/>
    <w:pPr>
      <w:spacing w:line="240" w:lineRule="auto"/>
    </w:pPr>
    <w:rPr>
      <w:sz w:val="20"/>
    </w:rPr>
  </w:style>
  <w:style w:type="character" w:customStyle="1" w:styleId="CommentTextChar">
    <w:name w:val="Comment Text Char"/>
    <w:basedOn w:val="DefaultParagraphFont"/>
    <w:link w:val="CommentText"/>
    <w:uiPriority w:val="99"/>
    <w:semiHidden/>
    <w:rsid w:val="0069524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5242"/>
    <w:rPr>
      <w:b/>
      <w:bCs/>
    </w:rPr>
  </w:style>
  <w:style w:type="character" w:customStyle="1" w:styleId="CommentSubjectChar">
    <w:name w:val="Comment Subject Char"/>
    <w:basedOn w:val="CommentTextChar"/>
    <w:link w:val="CommentSubject"/>
    <w:uiPriority w:val="99"/>
    <w:semiHidden/>
    <w:rsid w:val="0069524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ssi/2016/231/regulation/2/made" TargetMode="External"/><Relationship Id="rId2" Type="http://schemas.openxmlformats.org/officeDocument/2006/relationships/hyperlink" Target="https://consult.scotland.gov.uk/tribunals-administrative-justice-policy/tribunals-scotland-act-2014-draft-regulations/consultation/published_select_respondent" TargetMode="External"/><Relationship Id="rId1" Type="http://schemas.openxmlformats.org/officeDocument/2006/relationships/hyperlink" Target="https://consult.scotland.gov.uk/tribunals-administrative-justice-policy/tribunals-scotland-act-2014-draft-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5E273-4DA1-4407-A120-C8D4C95A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1319</Words>
  <Characters>7524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u203871</dc:creator>
  <cp:lastModifiedBy>U419397</cp:lastModifiedBy>
  <cp:revision>2</cp:revision>
  <cp:lastPrinted>2016-12-15T09:31:00Z</cp:lastPrinted>
  <dcterms:created xsi:type="dcterms:W3CDTF">2017-01-05T16:01:00Z</dcterms:created>
  <dcterms:modified xsi:type="dcterms:W3CDTF">2017-01-05T16:01:00Z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A16246313</vt:lpwstr>
  </property>
  <property fmtid="{D5CDD505-2E9C-101B-9397-08002B2CF9AE}" pid="4" name="Objective-Title">
    <vt:lpwstr>Tax Tribunals consultation - response report</vt:lpwstr>
  </property>
  <property fmtid="{D5CDD505-2E9C-101B-9397-08002B2CF9AE}" pid="5" name="Objective-Comment">
    <vt:lpwstr>
    </vt:lpwstr>
  </property>
  <property fmtid="{D5CDD505-2E9C-101B-9397-08002B2CF9AE}" pid="6" name="Objective-CreationStamp">
    <vt:filetime>2016-12-15T10:17:55Z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2017-01-05T15:59:02Z</vt:filetime>
  </property>
  <property fmtid="{D5CDD505-2E9C-101B-9397-08002B2CF9AE}" pid="11" name="Objective-Owner">
    <vt:lpwstr>Frodsham, Hannah H (U419397)</vt:lpwstr>
  </property>
  <property fmtid="{D5CDD505-2E9C-101B-9397-08002B2CF9AE}" pid="12" name="Objective-Path">
    <vt:lpwstr>Objective Global Folder:SG File Plan:Crime, law, justice and rights:Justice system:General:Advice and policy: Justice system - general:Tribunals: Tribunals (Scotland) Act 2014 Consultations: 2015-2020:</vt:lpwstr>
  </property>
  <property fmtid="{D5CDD505-2E9C-101B-9397-08002B2CF9AE}" pid="13" name="Objective-Parent">
    <vt:lpwstr>Tribunals: Tribunals (Scotland) Act 2014 Consultations: 2015-2020</vt:lpwstr>
  </property>
  <property fmtid="{D5CDD505-2E9C-101B-9397-08002B2CF9AE}" pid="14" name="Objective-State">
    <vt:lpwstr>Being Drafted</vt:lpwstr>
  </property>
  <property fmtid="{D5CDD505-2E9C-101B-9397-08002B2CF9AE}" pid="15" name="Objective-Version">
    <vt:lpwstr>0.7</vt:lpwstr>
  </property>
  <property fmtid="{D5CDD505-2E9C-101B-9397-08002B2CF9AE}" pid="16" name="Objective-VersionNumber">
    <vt:i4>7</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OFFICIAL-SENSITIVE]</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